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2A6850" w14:textId="77777777" w:rsidR="000A68F6" w:rsidRPr="005611DA" w:rsidRDefault="000A68F6" w:rsidP="00CC3F95">
      <w:pPr>
        <w:spacing w:line="360" w:lineRule="auto"/>
        <w:jc w:val="center"/>
        <w:rPr>
          <w:rFonts w:ascii="Garamond" w:eastAsia="Garamond" w:hAnsi="Garamond" w:cs="Garamond"/>
          <w:b/>
          <w:bCs/>
          <w:sz w:val="28"/>
          <w:szCs w:val="28"/>
          <w:u w:val="single"/>
        </w:rPr>
      </w:pPr>
      <w:bookmarkStart w:id="0" w:name="_GoBack"/>
      <w:bookmarkEnd w:id="0"/>
      <w:r w:rsidRPr="005611DA">
        <w:rPr>
          <w:rFonts w:ascii="Garamond" w:eastAsia="Garamond" w:hAnsi="Garamond" w:cs="Garamond"/>
          <w:b/>
          <w:bCs/>
          <w:sz w:val="28"/>
          <w:szCs w:val="28"/>
          <w:u w:val="single"/>
        </w:rPr>
        <w:t>Socialism or Death?: an assessment of the socioeconomic successes and failures of the Cuban Revolution, 1958 - 1975</w:t>
      </w:r>
    </w:p>
    <w:p w14:paraId="5AF09383" w14:textId="77777777" w:rsidR="000A68F6" w:rsidRPr="005611DA" w:rsidRDefault="000A68F6" w:rsidP="00CC3F95">
      <w:pPr>
        <w:spacing w:line="360" w:lineRule="auto"/>
        <w:rPr>
          <w:rFonts w:ascii="Garamond" w:hAnsi="Garamond"/>
        </w:rPr>
      </w:pPr>
    </w:p>
    <w:p w14:paraId="5A57E93F" w14:textId="77777777" w:rsidR="000A68F6" w:rsidRPr="005611DA" w:rsidRDefault="000A68F6" w:rsidP="00CC3F95">
      <w:pPr>
        <w:spacing w:line="360" w:lineRule="auto"/>
        <w:rPr>
          <w:rFonts w:ascii="Garamond" w:eastAsia="Garamond" w:hAnsi="Garamond" w:cs="Garamond"/>
        </w:rPr>
      </w:pPr>
      <w:r w:rsidRPr="005611DA">
        <w:rPr>
          <w:rFonts w:ascii="Garamond" w:eastAsia="Garamond" w:hAnsi="Garamond" w:cs="Garamond"/>
        </w:rPr>
        <w:t>The decades following the Second World War was a time when global order was still something to be fought for. Radical ideas were filtering through the ordinary people right up to the highest positions of authority; and whether in the vastly improved living conditions enjoyed in the Western Hemisphere, the dulcet tones of a certain Elvis Presley, or even in the rugged allure of a Communist revolutionary, there appeared to be a latent hope for future betterment. This contextualisation is important when considering the island of Cuba, whose fortunes hinged on the historical developments of this era. On 1</w:t>
      </w:r>
      <w:r w:rsidRPr="005611DA">
        <w:rPr>
          <w:rFonts w:ascii="Garamond" w:eastAsia="Garamond" w:hAnsi="Garamond" w:cs="Garamond"/>
          <w:vertAlign w:val="superscript"/>
        </w:rPr>
        <w:t>st</w:t>
      </w:r>
      <w:r w:rsidRPr="005611DA">
        <w:rPr>
          <w:rFonts w:ascii="Garamond" w:eastAsia="Garamond" w:hAnsi="Garamond" w:cs="Garamond"/>
        </w:rPr>
        <w:t xml:space="preserve"> January 1959, the Cuban people were set on a new direction, as marked by the success of a revolutionary movement. Led by the “restless and energetic nationalist”</w:t>
      </w:r>
      <w:r w:rsidRPr="005611DA">
        <w:rPr>
          <w:rStyle w:val="FootnoteReference"/>
          <w:rFonts w:ascii="Garamond" w:eastAsia="Garamond" w:hAnsi="Garamond" w:cs="Garamond"/>
        </w:rPr>
        <w:footnoteReference w:id="1"/>
      </w:r>
      <w:r w:rsidRPr="005611DA">
        <w:rPr>
          <w:rFonts w:ascii="Garamond" w:eastAsia="Garamond" w:hAnsi="Garamond" w:cs="Garamond"/>
        </w:rPr>
        <w:t xml:space="preserve"> Fidel Castro, the 26</w:t>
      </w:r>
      <w:r w:rsidRPr="005611DA">
        <w:rPr>
          <w:rFonts w:ascii="Garamond" w:eastAsia="Garamond" w:hAnsi="Garamond" w:cs="Garamond"/>
          <w:vertAlign w:val="superscript"/>
        </w:rPr>
        <w:t>th</w:t>
      </w:r>
      <w:r w:rsidRPr="005611DA">
        <w:rPr>
          <w:rFonts w:ascii="Garamond" w:eastAsia="Garamond" w:hAnsi="Garamond" w:cs="Garamond"/>
        </w:rPr>
        <w:t xml:space="preserve"> of July Movement seized power during a clash in Havana, forcing the former leader General Batista into exile, and toppling the 57-year-old Cuban Republic itself. Having ascended to the position of government, Castro’s revolutionaries set about reforming the socio-economic framework of the nation, motivated by a hunger for independence, political and economic.</w:t>
      </w:r>
      <w:r w:rsidRPr="005611DA">
        <w:rPr>
          <w:rStyle w:val="FootnoteReference"/>
          <w:rFonts w:ascii="Garamond" w:eastAsia="Garamond" w:hAnsi="Garamond" w:cs="Garamond"/>
        </w:rPr>
        <w:footnoteReference w:id="2"/>
      </w:r>
      <w:r w:rsidRPr="005611DA">
        <w:rPr>
          <w:rFonts w:ascii="Garamond" w:eastAsia="Garamond" w:hAnsi="Garamond" w:cs="Garamond"/>
        </w:rPr>
        <w:t xml:space="preserve"> Though what followed was the revolution’s alignment with the Communist USSR, this was never the formal plan: Castro himself continued to assert that the popular Cuban poet José Martí was the ideological father of the revolt, not Karl Marx. While it would be unwise to ignore Castro’s affinity with socialist doctrine, likewise it is important to remember that the Cuban leader considered himself a nationalist above all else, thus he prioritised his utopian vision of Cuban greatness over the economic philosophy which underpinned it. This may go some way to explaining the economic woes of an isolated nation – though Cuba was undoubtedly a socialist country, this was born of a patriotic need to shake off the yoke of the oppressive and imperialistic United States, which translated into the revolution’s propaganda, encouraging hard work for financial improvement, free from the reigns of foreign oppressors (see appendix 1).</w:t>
      </w:r>
    </w:p>
    <w:p w14:paraId="799BFBDC" w14:textId="77777777" w:rsidR="000A68F6" w:rsidRPr="005611DA" w:rsidRDefault="000A68F6" w:rsidP="00CC3F95">
      <w:pPr>
        <w:spacing w:line="360" w:lineRule="auto"/>
        <w:rPr>
          <w:rFonts w:ascii="Garamond" w:eastAsia="Garamond" w:hAnsi="Garamond" w:cs="Garamond"/>
        </w:rPr>
      </w:pPr>
      <w:r w:rsidRPr="005611DA">
        <w:rPr>
          <w:rFonts w:ascii="Garamond" w:hAnsi="Garamond"/>
        </w:rPr>
        <w:tab/>
      </w:r>
      <w:r w:rsidRPr="005611DA">
        <w:rPr>
          <w:rFonts w:ascii="Garamond" w:eastAsia="Garamond" w:hAnsi="Garamond" w:cs="Garamond"/>
        </w:rPr>
        <w:t xml:space="preserve">Whether this moral pursuit of freedom was substantiated by economic success has been the subject of much historical debate: the obvious pitfalls of the socialist system have plagued the Cuban economy, from workers made apathetic by the lack of pecuniary incentive to the inefficiency of state bureaucracy. One need only view the records of the euphemistically-named ‘Special Period’ of the 1990s (in which scarcity of resources reduced citizens to eating their cleaning utensils) to grasp why the revolution has come under heavy criticism for its approach to the economy. But Cuba’s is no ordinary tale of development stifled by a Communist regime. Rather, as my argument aims to prove, the degradation of Cuba’s socio-economic prospects wasn’t absolute, and its root causes highly complex. I assert that it was a commitment to nationalism, more so than Marxism, which shaped the economic </w:t>
      </w:r>
      <w:r w:rsidRPr="005611DA">
        <w:rPr>
          <w:rFonts w:ascii="Garamond" w:eastAsia="Garamond" w:hAnsi="Garamond" w:cs="Garamond"/>
        </w:rPr>
        <w:lastRenderedPageBreak/>
        <w:t>impact of the revolution; the convictions and persuasions of the revolutionaries, the strategy of collectivisation, the provision of social services, and most significantly an intransigence to trade with the USA were all manifestations of the revolution’s nationalistic desire for independence from American oppressors. And it is this shift away from an American-dominated market and toward the Communist East which resulted in Cuban socio-economic instability in the immediate aftermath of the revolution – a failure of nationalist, not socialist, policy.</w:t>
      </w:r>
    </w:p>
    <w:p w14:paraId="701A2F4A" w14:textId="77777777" w:rsidR="000A68F6" w:rsidRPr="005611DA" w:rsidRDefault="000A68F6" w:rsidP="00CC3F95">
      <w:pPr>
        <w:spacing w:line="360" w:lineRule="auto"/>
        <w:rPr>
          <w:rFonts w:ascii="Garamond" w:eastAsia="Baskerville" w:hAnsi="Garamond"/>
          <w:u w:val="single"/>
        </w:rPr>
      </w:pPr>
    </w:p>
    <w:p w14:paraId="37951A33" w14:textId="77777777" w:rsidR="000A68F6" w:rsidRPr="005611DA" w:rsidRDefault="000A68F6" w:rsidP="00CC3F95">
      <w:pPr>
        <w:spacing w:line="360" w:lineRule="auto"/>
        <w:rPr>
          <w:rFonts w:ascii="Garamond" w:eastAsia="Garamond,Baskerville Old Face" w:hAnsi="Garamond" w:cs="Garamond,Baskerville Old Face"/>
        </w:rPr>
      </w:pPr>
      <w:r w:rsidRPr="005611DA">
        <w:rPr>
          <w:rFonts w:ascii="Garamond" w:eastAsia="Garamond" w:hAnsi="Garamond" w:cs="Garamond"/>
        </w:rPr>
        <w:t>The post-revolutionary agrarian reforms are essential to all scholarship in the field of Cuban history, for the island’s economic basis was predominantly agricultural: it relied heavily on the growth of sugar-cane, the trade of which made up more than half of Cuban Gross National Product throughout the 1950s. As Bianchi</w:t>
      </w:r>
      <w:r w:rsidRPr="005611DA">
        <w:rPr>
          <w:rFonts w:ascii="Garamond" w:eastAsia="Garamond,Baskerville Old Face,B" w:hAnsi="Garamond" w:cs="Garamond,Baskerville Old Face,B"/>
        </w:rPr>
        <w:t xml:space="preserve"> </w:t>
      </w:r>
      <w:r w:rsidRPr="005611DA">
        <w:rPr>
          <w:rFonts w:ascii="Garamond" w:eastAsia="Garamond" w:hAnsi="Garamond" w:cs="Garamond"/>
        </w:rPr>
        <w:t xml:space="preserve">concludes, </w:t>
      </w:r>
      <w:r w:rsidRPr="005611DA">
        <w:rPr>
          <w:rFonts w:ascii="Garamond" w:eastAsia="Garamond,Baskerville Old Face" w:hAnsi="Garamond" w:cs="Garamond,Baskerville Old Face"/>
        </w:rPr>
        <w:t>"</w:t>
      </w:r>
      <w:r w:rsidRPr="005611DA">
        <w:rPr>
          <w:rFonts w:ascii="Garamond" w:eastAsia="Garamond" w:hAnsi="Garamond" w:cs="Garamond"/>
        </w:rPr>
        <w:t>since the beginning of the nineteenth century, the expansions and declines of Cuban agriculture have been closely associated with the fate of sugar in the international markets</w:t>
      </w:r>
      <w:r w:rsidRPr="005611DA">
        <w:rPr>
          <w:rFonts w:ascii="Garamond" w:eastAsia="Garamond,Baskerville Old Face" w:hAnsi="Garamond" w:cs="Garamond,Baskerville Old Face"/>
        </w:rPr>
        <w:t>".</w:t>
      </w:r>
      <w:r w:rsidRPr="005611DA">
        <w:rPr>
          <w:rStyle w:val="FootnoteReference"/>
          <w:rFonts w:ascii="Garamond" w:eastAsia="Garamond,Baskerville Old Face" w:hAnsi="Garamond" w:cs="Garamond,Baskerville Old Face"/>
        </w:rPr>
        <w:footnoteReference w:id="3"/>
      </w:r>
      <w:r w:rsidRPr="005611DA">
        <w:rPr>
          <w:rFonts w:ascii="Garamond" w:eastAsia="Garamond" w:hAnsi="Garamond" w:cs="Garamond"/>
        </w:rPr>
        <w:t xml:space="preserve"> For the sake of argument, it is important to note that the Cuban sugar trade was overwhelmingly based on exports, and remained so beyond the revolution.</w:t>
      </w:r>
      <w:r w:rsidRPr="005611DA">
        <w:rPr>
          <w:rStyle w:val="FootnoteReference"/>
          <w:rFonts w:ascii="Garamond" w:eastAsia="Garamond" w:hAnsi="Garamond" w:cs="Garamond"/>
        </w:rPr>
        <w:footnoteReference w:id="4"/>
      </w:r>
      <w:r w:rsidRPr="005611DA">
        <w:rPr>
          <w:rFonts w:ascii="Garamond" w:eastAsia="Garamond" w:hAnsi="Garamond" w:cs="Garamond"/>
        </w:rPr>
        <w:t xml:space="preserve"> Paramount to this was trade with the U.S., since 54.8 percent of Cuban sugar was sold in the American market.</w:t>
      </w:r>
      <w:r w:rsidRPr="005611DA">
        <w:rPr>
          <w:rStyle w:val="FootnoteReference"/>
          <w:rFonts w:ascii="Garamond" w:eastAsia="Garamond" w:hAnsi="Garamond" w:cs="Garamond"/>
        </w:rPr>
        <w:footnoteReference w:id="5"/>
      </w:r>
      <w:r w:rsidRPr="005611DA">
        <w:rPr>
          <w:rFonts w:ascii="Garamond" w:eastAsia="Garamond" w:hAnsi="Garamond" w:cs="Garamond"/>
        </w:rPr>
        <w:t xml:space="preserve"> In 1959, Castro’s government established the National Institute for Agrarian Reform (INRA), which introduced a program of reform characterised by redistribution of farming land, centralisation of the means of production, and diversification of produce. The strategy was pursued until 1963.</w:t>
      </w:r>
      <w:r w:rsidRPr="005611DA">
        <w:rPr>
          <w:rStyle w:val="FootnoteReference"/>
          <w:rFonts w:ascii="Garamond" w:eastAsia="Garamond,Baskerville Old Face" w:hAnsi="Garamond" w:cs="Garamond,Baskerville Old Face"/>
        </w:rPr>
        <w:footnoteReference w:id="6"/>
      </w:r>
      <w:r w:rsidRPr="005611DA">
        <w:rPr>
          <w:rFonts w:ascii="Garamond" w:eastAsia="Garamond,Baskerville Old Face" w:hAnsi="Garamond" w:cs="Garamond,Baskerville Old Face"/>
        </w:rPr>
        <w:t xml:space="preserve"> </w:t>
      </w:r>
    </w:p>
    <w:p w14:paraId="6E1AFB27" w14:textId="77777777" w:rsidR="000A68F6" w:rsidRPr="005611DA" w:rsidRDefault="000A68F6" w:rsidP="00CC3F95">
      <w:pPr>
        <w:spacing w:line="360" w:lineRule="auto"/>
        <w:ind w:firstLine="720"/>
        <w:rPr>
          <w:rFonts w:ascii="Garamond" w:eastAsia="Garamond,Baskerville Old Face" w:hAnsi="Garamond" w:cs="Garamond,Baskerville Old Face"/>
        </w:rPr>
      </w:pPr>
      <w:r w:rsidRPr="005611DA">
        <w:rPr>
          <w:rFonts w:ascii="Garamond" w:eastAsia="Garamond" w:hAnsi="Garamond" w:cs="Garamond"/>
        </w:rPr>
        <w:t>The initial results demonstrate hugely successful harvests: within two years of implementation from 1959, crop yields had skyrocketed, with the 1961 harvest in excess of 6,800,000 tons; this was an increase of almost twenty percent compared with the years preceding the revolution.</w:t>
      </w:r>
      <w:r w:rsidRPr="005611DA">
        <w:rPr>
          <w:rStyle w:val="FootnoteReference"/>
          <w:rFonts w:ascii="Garamond" w:eastAsia="Garamond,Baskerville Old Face" w:hAnsi="Garamond" w:cs="Garamond,Baskerville Old Face"/>
        </w:rPr>
        <w:footnoteReference w:id="7"/>
      </w:r>
      <w:r w:rsidRPr="005611DA">
        <w:rPr>
          <w:rFonts w:ascii="Garamond" w:eastAsia="Garamond" w:hAnsi="Garamond" w:cs="Garamond"/>
        </w:rPr>
        <w:t xml:space="preserve"> While extremely favourable weather conditions across this period may account for some of the increase, the effects of this can be deemed negligible, since figures do not show either a proportional or a remarkable rise in production for other areas of agriculture; on the contrary, milk, potatoes and malanga (taro plant) all suffered a decrease in production.</w:t>
      </w:r>
      <w:r w:rsidRPr="005611DA">
        <w:rPr>
          <w:rStyle w:val="FootnoteReference"/>
          <w:rFonts w:ascii="Garamond" w:eastAsia="Garamond,Baskerville Old Face" w:hAnsi="Garamond" w:cs="Garamond,Baskerville Old Face"/>
        </w:rPr>
        <w:footnoteReference w:id="8"/>
      </w:r>
      <w:r w:rsidRPr="005611DA">
        <w:rPr>
          <w:rFonts w:ascii="Garamond" w:eastAsia="Garamond" w:hAnsi="Garamond" w:cs="Garamond"/>
        </w:rPr>
        <w:t xml:space="preserve"> Hence, the short-term impact of institutional agrarian reform was a significant triumph of socialist policy, since overall production as well as employment of labour each witnessed a tangible boost as a direct consequence of redistribution of land. However, the results of agrarian reform beyond 1961 demonstrate a reversal of fortunes. After a near-record high achieved in </w:t>
      </w:r>
      <w:r w:rsidRPr="005611DA">
        <w:rPr>
          <w:rFonts w:ascii="Garamond" w:eastAsia="Garamond" w:hAnsi="Garamond" w:cs="Garamond"/>
        </w:rPr>
        <w:lastRenderedPageBreak/>
        <w:t>1961, the following year saw sugar production decline drastically to less than 5,000,000 tons – the lowest figure for more than a decade.</w:t>
      </w:r>
      <w:r w:rsidRPr="005611DA">
        <w:rPr>
          <w:rStyle w:val="FootnoteReference"/>
          <w:rFonts w:ascii="Garamond" w:eastAsia="Garamond,Baskerville Old Face" w:hAnsi="Garamond" w:cs="Garamond,Baskerville Old Face"/>
        </w:rPr>
        <w:footnoteReference w:id="9"/>
      </w:r>
      <w:r w:rsidRPr="005611DA">
        <w:rPr>
          <w:rFonts w:ascii="Garamond" w:eastAsia="Garamond" w:hAnsi="Garamond" w:cs="Garamond"/>
        </w:rPr>
        <w:t xml:space="preserve"> This may be considered an inherent by-product of diversification, as sugar took a backseat to a variety of other agricultural produce. But when coupled with a sharp and unexpected fall in global sugar prices which magnified the effects, it resulted in a US$300 million deficit in the balance of payments by 1963, at which point the policy was abandoned.</w:t>
      </w:r>
      <w:r w:rsidRPr="005611DA">
        <w:rPr>
          <w:rStyle w:val="FootnoteReference"/>
          <w:rFonts w:ascii="Garamond" w:eastAsia="Garamond,Baskerville Old Face" w:hAnsi="Garamond" w:cs="Garamond,Baskerville Old Face"/>
        </w:rPr>
        <w:footnoteReference w:id="10"/>
      </w:r>
      <w:r w:rsidRPr="005611DA">
        <w:rPr>
          <w:rFonts w:ascii="Garamond" w:eastAsia="Garamond,Baskerville Old Face" w:hAnsi="Garamond" w:cs="Garamond,Baskerville Old Face"/>
        </w:rPr>
        <w:t xml:space="preserve"> </w:t>
      </w:r>
    </w:p>
    <w:p w14:paraId="1C220533" w14:textId="77777777" w:rsidR="000A68F6" w:rsidRPr="005611DA" w:rsidRDefault="000A68F6" w:rsidP="00CC3F95">
      <w:pPr>
        <w:spacing w:line="360" w:lineRule="auto"/>
        <w:ind w:firstLine="720"/>
        <w:rPr>
          <w:rFonts w:ascii="Garamond" w:eastAsia="Garamond,Baskerville Old Face" w:hAnsi="Garamond" w:cs="Garamond,Baskerville Old Face"/>
        </w:rPr>
      </w:pPr>
      <w:r w:rsidRPr="005611DA">
        <w:rPr>
          <w:rFonts w:ascii="Garamond" w:eastAsia="Garamond" w:hAnsi="Garamond" w:cs="Garamond"/>
        </w:rPr>
        <w:t>In place of this, however, a more radical economic framework was adopted and implemented until the early 1970s. The model devised by revolutionary leader Ernesto Che Guevara (inspired by the agrarian program of Maoist China) demanded a more dramatic shift away from the market and toward socialist egalitarianism. In practice, this meant a reduction in wage differentials, with the hope of incentivising workers instead with “moral stimulation”, as well as further centralisation of economic decision-making.</w:t>
      </w:r>
      <w:r w:rsidRPr="005611DA">
        <w:rPr>
          <w:rStyle w:val="FootnoteReference"/>
          <w:rFonts w:ascii="Garamond" w:eastAsia="Garamond,Baskerville Old Face" w:hAnsi="Garamond" w:cs="Garamond,Baskerville Old Face"/>
        </w:rPr>
        <w:footnoteReference w:id="11"/>
      </w:r>
      <w:r w:rsidRPr="005611DA">
        <w:rPr>
          <w:rFonts w:ascii="Garamond" w:eastAsia="Garamond" w:hAnsi="Garamond" w:cs="Garamond"/>
        </w:rPr>
        <w:t xml:space="preserve"> Proponents of the collectivised agricultural policy point to data which suggests that the Guevarist model ushered in a period of extremely low unemployment and commendable productivity within the sugar industry (see appendix 2). Moreover, they maintain that centralised planning would allow for large-scale mechanisation, thus increasing agricultural efficiency.</w:t>
      </w:r>
      <w:r w:rsidRPr="005611DA">
        <w:rPr>
          <w:rStyle w:val="FootnoteReference"/>
          <w:rFonts w:ascii="Garamond" w:eastAsia="Garamond,Baskerville Old Face" w:hAnsi="Garamond" w:cs="Garamond,Baskerville Old Face"/>
        </w:rPr>
        <w:footnoteReference w:id="12"/>
      </w:r>
      <w:r w:rsidRPr="005611DA">
        <w:rPr>
          <w:rFonts w:ascii="Garamond" w:eastAsia="Garamond" w:hAnsi="Garamond" w:cs="Garamond"/>
        </w:rPr>
        <w:t xml:space="preserve"> However, since this reasoning assumes that production levels is the sole measure of success, irrespective of global prices, employment or wages, it represents a serious methodological flaw. For example, economist Carmelo Mesa-Lago’s research reinforces these fallacies: high levels of production are undermined by the INRA’s targets, of which sugar output fell short by fifteen percent; high levels of employment attributed to Guevara’s theory of “moral stimulation” refuted by the overwhelming occurrence of labour absenteeism; and wage equity rendered ineffective by the government’s reckless central planning – high liquidity was permitted, which caused a devaluation of the currency, meaning that citizens were sharing equal values of virtually nothing.</w:t>
      </w:r>
      <w:r w:rsidRPr="005611DA">
        <w:rPr>
          <w:rStyle w:val="FootnoteReference"/>
          <w:rFonts w:ascii="Garamond" w:eastAsia="Garamond,Baskerville Old Face" w:hAnsi="Garamond" w:cs="Garamond,Baskerville Old Face"/>
        </w:rPr>
        <w:footnoteReference w:id="13"/>
      </w:r>
      <w:r w:rsidRPr="005611DA">
        <w:rPr>
          <w:rFonts w:ascii="Garamond" w:eastAsia="Garamond" w:hAnsi="Garamond" w:cs="Garamond"/>
        </w:rPr>
        <w:t xml:space="preserve"> It would be unwise, therefore, to characterise the Guevarist model as an economic success.</w:t>
      </w:r>
    </w:p>
    <w:p w14:paraId="602E3D15" w14:textId="77777777" w:rsidR="000A68F6" w:rsidRPr="005611DA" w:rsidRDefault="000A68F6" w:rsidP="00CC3F95">
      <w:pPr>
        <w:spacing w:line="360" w:lineRule="auto"/>
        <w:ind w:firstLine="720"/>
        <w:rPr>
          <w:rFonts w:ascii="Garamond" w:eastAsia="Garamond,Baskerville Old Face" w:hAnsi="Garamond" w:cs="Garamond,Baskerville Old Face"/>
        </w:rPr>
      </w:pPr>
      <w:r w:rsidRPr="005611DA">
        <w:rPr>
          <w:rFonts w:ascii="Garamond" w:eastAsia="Garamond" w:hAnsi="Garamond" w:cs="Garamond"/>
        </w:rPr>
        <w:t>Toward the end of the Guevarist model’s lifespan, absenteeism had been a significant challenge to sugar cultivation, averaging at 29 percent in 1970, and in extreme cases exceeding 35 percent – a clear indication to academics of the failure of Guevara’s idealistic “moral stimulation” to incentivise workers.</w:t>
      </w:r>
      <w:r w:rsidRPr="005611DA">
        <w:rPr>
          <w:rStyle w:val="FootnoteReference"/>
          <w:rFonts w:ascii="Garamond" w:eastAsia="Garamond,Baskerville Old Face" w:hAnsi="Garamond" w:cs="Garamond,Baskerville Old Face"/>
        </w:rPr>
        <w:footnoteReference w:id="14"/>
      </w:r>
      <w:r w:rsidRPr="005611DA">
        <w:rPr>
          <w:rFonts w:ascii="Garamond" w:eastAsia="Garamond" w:hAnsi="Garamond" w:cs="Garamond"/>
        </w:rPr>
        <w:t xml:space="preserve"> In place of this, wage scales were introduced based on, among other things, worker productivity, with material gain a means to encourage effort. Furthermore, organisation of agriculture was decentralised, giving financial control to the individual farms. By bringing decision-making to enterprise-level, the </w:t>
      </w:r>
      <w:r w:rsidRPr="005611DA">
        <w:rPr>
          <w:rFonts w:ascii="Garamond" w:eastAsia="Garamond" w:hAnsi="Garamond" w:cs="Garamond"/>
        </w:rPr>
        <w:lastRenderedPageBreak/>
        <w:t>government allowed for close attention to be paid to the nuances of the agronomy, which caused output to rise to near-record levels in the period 1971-75 for both sugar and non-sugar output.</w:t>
      </w:r>
      <w:r w:rsidRPr="005611DA">
        <w:rPr>
          <w:rStyle w:val="FootnoteReference"/>
          <w:rFonts w:ascii="Garamond" w:eastAsia="Garamond,Baskerville Old Face" w:hAnsi="Garamond" w:cs="Garamond,Baskerville Old Face"/>
        </w:rPr>
        <w:footnoteReference w:id="15"/>
      </w:r>
      <w:r w:rsidRPr="005611DA">
        <w:rPr>
          <w:rFonts w:ascii="Garamond" w:eastAsia="Garamond" w:hAnsi="Garamond" w:cs="Garamond"/>
        </w:rPr>
        <w:t xml:space="preserve"> This shift in favour of the market was indicative of the INRA’s struggle to maintain commitment to socialism while keeping the industry they were overseeing revitalised. However, the result of attempting free-market policy within a socialist economic framework did not succeed, for the wage differentials offered were limited, hence workers remained listless and the agricultural sector failed to grow.</w:t>
      </w:r>
    </w:p>
    <w:p w14:paraId="68EA3A60" w14:textId="77777777" w:rsidR="000A68F6" w:rsidRPr="005611DA" w:rsidRDefault="000A68F6" w:rsidP="00CC3F95">
      <w:pPr>
        <w:spacing w:line="360" w:lineRule="auto"/>
        <w:ind w:firstLine="720"/>
        <w:rPr>
          <w:rFonts w:ascii="Garamond" w:eastAsia="Garamond,Baskerville Old Face" w:hAnsi="Garamond" w:cs="Garamond,Baskerville Old Face"/>
        </w:rPr>
      </w:pPr>
      <w:r w:rsidRPr="005611DA">
        <w:rPr>
          <w:rFonts w:ascii="Garamond" w:eastAsia="Garamond" w:hAnsi="Garamond" w:cs="Garamond"/>
        </w:rPr>
        <w:t>Regarding the overall success of post-revolutionary agrarian reform, there is little evidence to suggest that the revolution induced progress. The combination of eroded incentives, poor economic foresight and underwhelming returns on the policy of diversification placed a stranglehold on agriculture within Cuba. By 1970, no single area of agriculture under the INRA (save that of fishing) either matched or exceeded its per capita output in 1958, before the revolution took hold;</w:t>
      </w:r>
      <w:r w:rsidRPr="005611DA">
        <w:rPr>
          <w:rStyle w:val="FootnoteReference"/>
          <w:rFonts w:ascii="Garamond" w:eastAsia="Garamond,Baskerville Old Face" w:hAnsi="Garamond" w:cs="Garamond,Baskerville Old Face"/>
        </w:rPr>
        <w:footnoteReference w:id="16"/>
      </w:r>
      <w:r w:rsidRPr="005611DA">
        <w:rPr>
          <w:rFonts w:ascii="Garamond" w:eastAsia="Garamond" w:hAnsi="Garamond" w:cs="Garamond"/>
        </w:rPr>
        <w:t xml:space="preserve"> meanwhile, on private-sector farms, workers enjoyed relative financial prosperity, as they were divorced from the fluctuations of a restrictive centrally-planned economy.</w:t>
      </w:r>
      <w:r w:rsidRPr="005611DA">
        <w:rPr>
          <w:rStyle w:val="FootnoteReference"/>
          <w:rFonts w:ascii="Garamond" w:eastAsia="Garamond,Baskerville Old Face" w:hAnsi="Garamond" w:cs="Garamond,Baskerville Old Face"/>
        </w:rPr>
        <w:footnoteReference w:id="17"/>
      </w:r>
      <w:r w:rsidRPr="005611DA">
        <w:rPr>
          <w:rFonts w:ascii="Garamond" w:eastAsia="Garamond" w:hAnsi="Garamond" w:cs="Garamond"/>
        </w:rPr>
        <w:t xml:space="preserve"> But, rather than the view most commonly promulgated – that the challenges posed by the cultivation of sugar are the fault of socialist restructuring – on balance, agriculture was reorganised in unison with the government’s wariness of economic dependency. By shifting away from the market</w:t>
      </w:r>
      <w:r w:rsidRPr="005611DA">
        <w:rPr>
          <w:rFonts w:ascii="Garamond" w:eastAsia="Garamond,Baskerville Old Face" w:hAnsi="Garamond" w:cs="Garamond,Baskerville Old Face"/>
        </w:rPr>
        <w:t xml:space="preserve">, </w:t>
      </w:r>
      <w:r w:rsidRPr="005611DA">
        <w:rPr>
          <w:rFonts w:ascii="Garamond" w:eastAsia="Garamond" w:hAnsi="Garamond" w:cs="Garamond"/>
        </w:rPr>
        <w:t>the INRA sought not just to financially safeguard farmers, but more importantly to undermine its economic oppressor, the USA.This mission was indeed irrespective of the notions of capitalism and communism.</w:t>
      </w:r>
      <w:r w:rsidRPr="005611DA">
        <w:rPr>
          <w:rFonts w:ascii="Garamond" w:eastAsia="Garamond,Baskerville Old Face" w:hAnsi="Garamond" w:cs="Garamond,Baskerville Old Face"/>
        </w:rPr>
        <w:t xml:space="preserve"> </w:t>
      </w:r>
    </w:p>
    <w:p w14:paraId="7CCE565A" w14:textId="77777777" w:rsidR="000A68F6" w:rsidRPr="005611DA" w:rsidRDefault="000A68F6" w:rsidP="00CC3F95">
      <w:pPr>
        <w:spacing w:line="360" w:lineRule="auto"/>
        <w:rPr>
          <w:rFonts w:ascii="Garamond" w:eastAsia="Baskerville Old Face" w:hAnsi="Garamond"/>
        </w:rPr>
      </w:pPr>
    </w:p>
    <w:p w14:paraId="12D3C6F7" w14:textId="77777777" w:rsidR="000A68F6" w:rsidRPr="005611DA" w:rsidRDefault="000A68F6" w:rsidP="00CC3F95">
      <w:pPr>
        <w:spacing w:line="360" w:lineRule="auto"/>
        <w:rPr>
          <w:rFonts w:ascii="Garamond" w:eastAsia="Garamond,Baskerville Old Face" w:hAnsi="Garamond" w:cs="Garamond,Baskerville Old Face"/>
        </w:rPr>
      </w:pPr>
      <w:r w:rsidRPr="005611DA">
        <w:rPr>
          <w:rFonts w:ascii="Garamond" w:eastAsia="Garamond" w:hAnsi="Garamond" w:cs="Garamond"/>
        </w:rPr>
        <w:t>Another cog in the Cuban economic machine somewhat damaged by the revolution was that of industry and commerce – though dwarfed by agriculture in terms of Cuba’s overall output, the production of oil, metals and nonfood commodities was moderately successful in the pre-revolutionary era. For example, Cuban industrial resources included two nickel mines, three oil refineries and multiple systems of communication and transportation – all of which were relatively efficient and highly developed.</w:t>
      </w:r>
      <w:r w:rsidRPr="005611DA">
        <w:rPr>
          <w:rStyle w:val="FootnoteReference"/>
          <w:rFonts w:ascii="Garamond" w:eastAsia="Garamond,Baskerville Old Face" w:hAnsi="Garamond" w:cs="Garamond,Baskerville Old Face"/>
        </w:rPr>
        <w:footnoteReference w:id="18"/>
      </w:r>
      <w:r w:rsidRPr="005611DA">
        <w:rPr>
          <w:rFonts w:ascii="Garamond" w:eastAsia="Garamond,Baskerville Old Face" w:hAnsi="Garamond" w:cs="Garamond,Baskerville Old Face"/>
        </w:rPr>
        <w:t xml:space="preserve"> </w:t>
      </w:r>
    </w:p>
    <w:p w14:paraId="6184A667" w14:textId="77777777" w:rsidR="000A68F6" w:rsidRPr="005611DA" w:rsidRDefault="000A68F6" w:rsidP="00CC3F95">
      <w:pPr>
        <w:spacing w:line="360" w:lineRule="auto"/>
        <w:rPr>
          <w:rFonts w:ascii="Garamond" w:eastAsia="Garamond,Baskerville Old Face" w:hAnsi="Garamond" w:cs="Garamond,Baskerville Old Face"/>
        </w:rPr>
      </w:pPr>
      <w:r w:rsidRPr="005611DA">
        <w:rPr>
          <w:rFonts w:ascii="Garamond" w:eastAsia="Baskerville Old Face" w:hAnsi="Garamond"/>
        </w:rPr>
        <w:tab/>
      </w:r>
      <w:r w:rsidRPr="005611DA">
        <w:rPr>
          <w:rFonts w:ascii="Garamond" w:eastAsia="Garamond" w:hAnsi="Garamond" w:cs="Garamond"/>
        </w:rPr>
        <w:t>Though typically considered a tenet of the socialist system, nationalisation of industry was actually an outgrowth of nationalist economic thought. While the initial instances of nationalisation saw several domestic businesses become subject to central planning, these had minimal overall impact. The government only intervened in the assets of former associates of the Batista dictatorship (whom the revolution had been devised to overthrow); and in the second phase, the government took over failing businesses in order to provide financial stability.</w:t>
      </w:r>
      <w:r w:rsidRPr="005611DA">
        <w:rPr>
          <w:rStyle w:val="FootnoteReference"/>
          <w:rFonts w:ascii="Garamond" w:eastAsia="Garamond,Baskerville Old Face" w:hAnsi="Garamond" w:cs="Garamond,Baskerville Old Face"/>
        </w:rPr>
        <w:footnoteReference w:id="19"/>
      </w:r>
      <w:r w:rsidRPr="005611DA">
        <w:rPr>
          <w:rFonts w:ascii="Garamond" w:eastAsia="Garamond" w:hAnsi="Garamond" w:cs="Garamond"/>
        </w:rPr>
        <w:t xml:space="preserve"> More consequential however, was Cuba’s anti-American policy, for under the same policy, US firms were nationalised as a act of economic aggression. The Cuban Oil Institute (IPC) was formed, which took control of the business activities of three </w:t>
      </w:r>
      <w:r w:rsidRPr="005611DA">
        <w:rPr>
          <w:rFonts w:ascii="Garamond" w:eastAsia="Garamond" w:hAnsi="Garamond" w:cs="Garamond"/>
        </w:rPr>
        <w:lastRenderedPageBreak/>
        <w:t>American oil companies – Esso, Shell, and Texaco – as a fulfilment of the Cuban desire for economic independence and their right to control the industrial activity conducted on Cuban soil. However, instead of making the production and refinement of crude oil more efficient (as the logic of central planning would dictate), it only served to burden the industry with heavy import costs, as the refineries were forced to import crude from the Soviet Union. Furthermore, after the introduction of law 851, American telephone companies, electrical suppliers and banks based in Cuba were all nationalised, to which the USA retaliated with a strict embargo on non-food trade with Cuba (which we shall come to discuss later).</w:t>
      </w:r>
      <w:r w:rsidRPr="005611DA">
        <w:rPr>
          <w:rStyle w:val="FootnoteReference"/>
          <w:rFonts w:ascii="Garamond" w:eastAsia="Garamond,Baskerville Old Face" w:hAnsi="Garamond" w:cs="Garamond,Baskerville Old Face"/>
        </w:rPr>
        <w:footnoteReference w:id="20"/>
      </w:r>
      <w:r w:rsidRPr="005611DA">
        <w:rPr>
          <w:rFonts w:ascii="Garamond" w:eastAsia="Garamond" w:hAnsi="Garamond" w:cs="Garamond"/>
        </w:rPr>
        <w:t xml:space="preserve"> Thus, rather than unconditional socialist state ownership, the process of nationalisations was in order to break Cuban dependence on the capital flows of American investors.</w:t>
      </w:r>
    </w:p>
    <w:p w14:paraId="38F0B1DB" w14:textId="77777777" w:rsidR="000A68F6" w:rsidRPr="005611DA" w:rsidRDefault="000A68F6" w:rsidP="00CC3F95">
      <w:pPr>
        <w:spacing w:line="360" w:lineRule="auto"/>
        <w:rPr>
          <w:rFonts w:ascii="Garamond" w:eastAsia="Garamond,Baskerville Old Face" w:hAnsi="Garamond" w:cs="Garamond,Baskerville Old Face"/>
        </w:rPr>
      </w:pPr>
      <w:r w:rsidRPr="005611DA">
        <w:rPr>
          <w:rFonts w:ascii="Garamond" w:eastAsia="Baskerville Old Face" w:hAnsi="Garamond"/>
        </w:rPr>
        <w:tab/>
      </w:r>
      <w:r w:rsidRPr="005611DA">
        <w:rPr>
          <w:rFonts w:ascii="Garamond" w:eastAsia="Garamond" w:hAnsi="Garamond" w:cs="Garamond"/>
        </w:rPr>
        <w:t>Aside from the knock-on effects of the trade embargo, nationalisation proved counterproductive to economic growth. In order to make the centralised industries easier to manage, the government merged smaller businesses into large conglomerates. However, these state enterprises failed to match what was previously provided by small businesses, as seen by the inadequacy of Cuban food distribution networks. After the government dissolved almost 4000 street vendors into gargantuan national companies, the already heavily-encumbered state food stores couldn’t cope with demand.</w:t>
      </w:r>
      <w:r w:rsidRPr="005611DA">
        <w:rPr>
          <w:rStyle w:val="FootnoteReference"/>
          <w:rFonts w:ascii="Garamond" w:eastAsia="Garamond,Baskerville Old Face" w:hAnsi="Garamond" w:cs="Garamond,Baskerville Old Face"/>
        </w:rPr>
        <w:footnoteReference w:id="21"/>
      </w:r>
      <w:r w:rsidRPr="005611DA">
        <w:rPr>
          <w:rFonts w:ascii="Garamond" w:eastAsia="Garamond" w:hAnsi="Garamond" w:cs="Garamond"/>
        </w:rPr>
        <w:t xml:space="preserve"> In addition, as was the case in the agricultural sector, so too did workers lack incentive, as labour absenteeism shot up to 15 percent in the industrial sector due to wage equity.</w:t>
      </w:r>
      <w:r w:rsidRPr="005611DA">
        <w:rPr>
          <w:rStyle w:val="FootnoteReference"/>
          <w:rFonts w:ascii="Garamond" w:eastAsia="Garamond,Baskerville Old Face" w:hAnsi="Garamond" w:cs="Garamond,Baskerville Old Face"/>
        </w:rPr>
        <w:footnoteReference w:id="22"/>
      </w:r>
      <w:r w:rsidRPr="005611DA">
        <w:rPr>
          <w:rFonts w:ascii="Garamond" w:eastAsia="Garamond" w:hAnsi="Garamond" w:cs="Garamond"/>
        </w:rPr>
        <w:t xml:space="preserve"> More striking however, were the qualitative differences in production: from toothpaste which turned hard as rock to glue that didn’t dry properly, Cuban commercial produce was not only suffering under severe labour shortages, but what little was produced in factories was of insufficient merit to anyone.</w:t>
      </w:r>
      <w:r w:rsidRPr="005611DA">
        <w:rPr>
          <w:rStyle w:val="FootnoteReference"/>
          <w:rFonts w:ascii="Garamond" w:eastAsia="Garamond,Baskerville Old Face" w:hAnsi="Garamond" w:cs="Garamond,Baskerville Old Face"/>
        </w:rPr>
        <w:footnoteReference w:id="23"/>
      </w:r>
      <w:r w:rsidRPr="005611DA">
        <w:rPr>
          <w:rFonts w:ascii="Garamond" w:eastAsia="Garamond" w:hAnsi="Garamond" w:cs="Garamond"/>
        </w:rPr>
        <w:t xml:space="preserve"> All these failures in the distribution, production and quality of the fruits of Cuban industry are indicative of the inefficiency of the increasingly centralised economy.</w:t>
      </w:r>
    </w:p>
    <w:p w14:paraId="04E402BE" w14:textId="77777777" w:rsidR="000A68F6" w:rsidRPr="005611DA" w:rsidRDefault="000A68F6" w:rsidP="00CC3F95">
      <w:pPr>
        <w:spacing w:line="360" w:lineRule="auto"/>
        <w:ind w:firstLine="720"/>
        <w:rPr>
          <w:rFonts w:ascii="Garamond" w:eastAsia="Garamond,Baskerville Old Face" w:hAnsi="Garamond" w:cs="Garamond,Baskerville Old Face"/>
        </w:rPr>
      </w:pPr>
      <w:r w:rsidRPr="005611DA">
        <w:rPr>
          <w:rFonts w:ascii="Garamond" w:eastAsia="Garamond" w:hAnsi="Garamond" w:cs="Garamond"/>
        </w:rPr>
        <w:t>Cuba’s decision to pursue a fully centralised industrial plan also magnified the effects of economic decision-making, since such decisions now affected the entire commercial framework, rather than mere individual enterprises. In February 1961, when appointed minister for industry, Che Guevara began working toward the rapid industrialisation of the Cuban economy; in practice, this meant heavy importation of machinery and equipment to facilitate the acceleration of an industrial powerhouse, producing everything from nickel to shoes.</w:t>
      </w:r>
      <w:r w:rsidRPr="005611DA">
        <w:rPr>
          <w:rStyle w:val="FootnoteReference"/>
          <w:rFonts w:ascii="Garamond" w:eastAsia="Garamond,Baskerville Old Face" w:hAnsi="Garamond" w:cs="Garamond,Baskerville Old Face"/>
        </w:rPr>
        <w:footnoteReference w:id="24"/>
      </w:r>
      <w:r w:rsidRPr="005611DA">
        <w:rPr>
          <w:rFonts w:ascii="Garamond" w:eastAsia="Garamond" w:hAnsi="Garamond" w:cs="Garamond"/>
        </w:rPr>
        <w:t xml:space="preserve"> In order to pay for this mechanisation plan, Guevara denied the wishes of Cuban workers for higher wages, believing that this would reduce the spending power of citizens, and so leaving the nation more financially vulnerable. The lack of proficient economists within </w:t>
      </w:r>
      <w:r w:rsidRPr="005611DA">
        <w:rPr>
          <w:rFonts w:ascii="Garamond" w:eastAsia="Garamond" w:hAnsi="Garamond" w:cs="Garamond"/>
        </w:rPr>
        <w:lastRenderedPageBreak/>
        <w:t>the government meant that there was no-one to restrain Guevara, and so the radical Marxist was allowed to unleash economic mayhem on a country still struggling to find its feet on the world stage.</w:t>
      </w:r>
      <w:r w:rsidRPr="005611DA">
        <w:rPr>
          <w:rStyle w:val="FootnoteReference"/>
          <w:rFonts w:ascii="Garamond" w:eastAsia="Garamond,Baskerville Old Face" w:hAnsi="Garamond" w:cs="Garamond,Baskerville Old Face"/>
        </w:rPr>
        <w:footnoteReference w:id="25"/>
      </w:r>
    </w:p>
    <w:p w14:paraId="3A49E0E1" w14:textId="77777777" w:rsidR="000A68F6" w:rsidRPr="005611DA" w:rsidRDefault="000A68F6" w:rsidP="00CC3F95">
      <w:pPr>
        <w:spacing w:line="360" w:lineRule="auto"/>
        <w:rPr>
          <w:rFonts w:ascii="Garamond" w:eastAsia="Garamond,Baskerville Old Face" w:hAnsi="Garamond" w:cs="Garamond,Baskerville Old Face"/>
        </w:rPr>
      </w:pPr>
      <w:r w:rsidRPr="005611DA">
        <w:rPr>
          <w:rFonts w:ascii="Garamond" w:eastAsia="Baskerville Old Face" w:hAnsi="Garamond"/>
        </w:rPr>
        <w:tab/>
      </w:r>
      <w:r w:rsidRPr="005611DA">
        <w:rPr>
          <w:rFonts w:ascii="Garamond" w:eastAsia="Garamond" w:hAnsi="Garamond" w:cs="Garamond"/>
        </w:rPr>
        <w:t>The failure of rapid industrialisation would prove Guevara wrong. Firstly, the refusal to raise wages caused immense discontentment among disgruntled workers, who damaged warehouses, government buildings, and most of all the industrial property so crucial to Guevara’s strategy.</w:t>
      </w:r>
      <w:r w:rsidRPr="005611DA">
        <w:rPr>
          <w:rStyle w:val="FootnoteReference"/>
          <w:rFonts w:ascii="Garamond" w:eastAsia="Garamond,Baskerville Old Face" w:hAnsi="Garamond" w:cs="Garamond,Baskerville Old Face"/>
        </w:rPr>
        <w:footnoteReference w:id="26"/>
      </w:r>
      <w:r w:rsidRPr="005611DA">
        <w:rPr>
          <w:rFonts w:ascii="Garamond" w:eastAsia="Garamond" w:hAnsi="Garamond" w:cs="Garamond"/>
        </w:rPr>
        <w:t xml:space="preserve"> Secondly, and more fundamentally, the rush to import machinery was ignorant of basic principles of trade. As mentioned above, Cuba had high liquidity in the form of cash and bonds, the Cuban peso was extremely weak. Since the equipment necessary for industrialisation was bought in foreign currency, this made imports especially costly. Hence, as was the case for agriculture, Guevara’s vision was not economically viable or sensible, and the push to mechanise Cuban industry ultimately failed. However, due to the over centralisation of the industrial economy, such poor foresight wrought more damage than would have been the case when Cuba was a market economy; Guevara’s misconceptions became universal law across all national industries, so failure was absolute, rather than individual.</w:t>
      </w:r>
    </w:p>
    <w:p w14:paraId="3F44F7DF" w14:textId="77777777" w:rsidR="000A68F6" w:rsidRPr="005611DA" w:rsidRDefault="000A68F6" w:rsidP="00CC3F95">
      <w:pPr>
        <w:spacing w:line="360" w:lineRule="auto"/>
        <w:rPr>
          <w:rFonts w:ascii="Garamond" w:eastAsia="Garamond,Baskerville Old Face" w:hAnsi="Garamond" w:cs="Garamond,Baskerville Old Face"/>
        </w:rPr>
      </w:pPr>
      <w:r w:rsidRPr="005611DA">
        <w:rPr>
          <w:rFonts w:ascii="Garamond" w:eastAsia="Baskerville Old Face" w:hAnsi="Garamond"/>
        </w:rPr>
        <w:tab/>
      </w:r>
      <w:r w:rsidRPr="005611DA">
        <w:rPr>
          <w:rFonts w:ascii="Garamond" w:eastAsia="Garamond" w:hAnsi="Garamond" w:cs="Garamond"/>
        </w:rPr>
        <w:t>In an essay entitled ‘Cuba in Transition to Socialism’ (</w:t>
      </w:r>
      <w:r w:rsidRPr="005611DA">
        <w:rPr>
          <w:rFonts w:ascii="Garamond" w:eastAsia="Garamond" w:hAnsi="Garamond" w:cs="Garamond"/>
          <w:i/>
          <w:iCs/>
        </w:rPr>
        <w:t>Cuba en el transit al socialismo</w:t>
      </w:r>
      <w:r w:rsidRPr="005611DA">
        <w:rPr>
          <w:rFonts w:ascii="Garamond" w:eastAsia="Garamond" w:hAnsi="Garamond" w:cs="Garamond"/>
        </w:rPr>
        <w:t>), prominent Communist politician Carlos Rafael Rodríguez argues that nationalisation did not in itself define Cuba as socialist:</w:t>
      </w:r>
    </w:p>
    <w:p w14:paraId="53E60193" w14:textId="77777777" w:rsidR="000A68F6" w:rsidRPr="005611DA" w:rsidRDefault="000A68F6" w:rsidP="00CC3F95">
      <w:pPr>
        <w:spacing w:line="276" w:lineRule="auto"/>
        <w:ind w:left="1440"/>
        <w:rPr>
          <w:rFonts w:ascii="Garamond" w:eastAsia="Garamond,Baskerville Old Face" w:hAnsi="Garamond" w:cs="Garamond,Baskerville Old Face"/>
        </w:rPr>
      </w:pPr>
      <w:r w:rsidRPr="005611DA">
        <w:rPr>
          <w:rFonts w:ascii="Garamond" w:eastAsia="Garamond" w:hAnsi="Garamond" w:cs="Garamond"/>
        </w:rPr>
        <w:t>“nationalisation does not on its own constitute the rise of socialism… This depends on the fundamental means of production having passed to the representatives of the people, in particular the proletariat, through the constitution of a political power of the working class, since only in this way will it be possible to eliminate the old capitalist relations and initiate socialist ones.”</w:t>
      </w:r>
      <w:r w:rsidRPr="005611DA">
        <w:rPr>
          <w:rStyle w:val="FootnoteReference"/>
          <w:rFonts w:ascii="Garamond" w:eastAsia="Garamond,Baskerville Old Face" w:hAnsi="Garamond" w:cs="Garamond,Baskerville Old Face"/>
        </w:rPr>
        <w:footnoteReference w:id="27"/>
      </w:r>
    </w:p>
    <w:p w14:paraId="39D73CE5" w14:textId="77777777" w:rsidR="000A68F6" w:rsidRPr="005611DA" w:rsidRDefault="000A68F6" w:rsidP="00CC3F95">
      <w:pPr>
        <w:spacing w:before="240" w:line="360" w:lineRule="auto"/>
        <w:rPr>
          <w:rFonts w:ascii="Garamond" w:eastAsia="Garamond,Baskerville Old Face" w:hAnsi="Garamond" w:cs="Garamond,Baskerville Old Face"/>
        </w:rPr>
      </w:pPr>
      <w:r w:rsidRPr="005611DA">
        <w:rPr>
          <w:rFonts w:ascii="Garamond" w:eastAsia="Garamond" w:hAnsi="Garamond" w:cs="Garamond"/>
        </w:rPr>
        <w:t>On this analysis, we may deduce the true purpose of Cuba’s industrial policy. Instead of, as has become common agreement, placing power firmly in the hands of the working class – the proletarians – the government centralised decision-making in order to eradicate the influence of American capitalists. Had their convictions been socialist, would workers have been denied a rise in wages? Would plans and strategies be drawn up by only a select group of highly-powerful politicians, rather than the communal ownership of the means of production promised by socialist theory? The revolution’s disregard for workers and equality would suggest that nationalisations did not serve the goal of social and economic egalitarianism, so the failure of industrial development may not be attributed to socialism.</w:t>
      </w:r>
    </w:p>
    <w:p w14:paraId="1147E487" w14:textId="77777777" w:rsidR="000A68F6" w:rsidRPr="005611DA" w:rsidRDefault="000A68F6" w:rsidP="00CC3F95">
      <w:pPr>
        <w:spacing w:line="360" w:lineRule="auto"/>
        <w:rPr>
          <w:rFonts w:ascii="Garamond" w:eastAsia="Baskerville Old Face" w:hAnsi="Garamond"/>
        </w:rPr>
      </w:pPr>
    </w:p>
    <w:p w14:paraId="0E16BF86" w14:textId="77777777" w:rsidR="000A68F6" w:rsidRPr="005611DA" w:rsidRDefault="000A68F6" w:rsidP="00CC3F95">
      <w:pPr>
        <w:spacing w:line="360" w:lineRule="auto"/>
        <w:rPr>
          <w:rFonts w:ascii="Garamond" w:eastAsia="Garamond,Baskerville Old Face" w:hAnsi="Garamond" w:cs="Garamond,Baskerville Old Face"/>
        </w:rPr>
      </w:pPr>
      <w:r w:rsidRPr="005611DA">
        <w:rPr>
          <w:rFonts w:ascii="Garamond" w:eastAsia="Garamond" w:hAnsi="Garamond" w:cs="Garamond"/>
        </w:rPr>
        <w:t>On 25</w:t>
      </w:r>
      <w:r w:rsidRPr="005611DA">
        <w:rPr>
          <w:rFonts w:ascii="Garamond" w:eastAsia="Garamond" w:hAnsi="Garamond" w:cs="Garamond"/>
          <w:vertAlign w:val="superscript"/>
        </w:rPr>
        <w:t>th</w:t>
      </w:r>
      <w:r w:rsidRPr="005611DA">
        <w:rPr>
          <w:rFonts w:ascii="Garamond" w:eastAsia="Garamond" w:hAnsi="Garamond" w:cs="Garamond"/>
        </w:rPr>
        <w:t xml:space="preserve"> June 1960, Fidel Castro declared economic war on the United States. In the greatest misjudgement of the revolution, the Cuban government challenged the industrial colossus which dominated the western market, and in so doing sealed the fate of the revolution. The various socio-economic problems of the revolution were synthesised in the severed trading relationship with America; </w:t>
      </w:r>
      <w:r w:rsidRPr="005611DA">
        <w:rPr>
          <w:rFonts w:ascii="Garamond" w:eastAsia="Garamond" w:hAnsi="Garamond" w:cs="Garamond"/>
        </w:rPr>
        <w:lastRenderedPageBreak/>
        <w:t xml:space="preserve">for the effects of the embargo had seismic implications for the agricultural and industrial sectors of the Cuban economy, and was the defining factor in the collapse of the society as a whole. </w:t>
      </w:r>
    </w:p>
    <w:p w14:paraId="19BE3F2A" w14:textId="77777777" w:rsidR="000A68F6" w:rsidRPr="005611DA" w:rsidRDefault="000A68F6" w:rsidP="00CC3F95">
      <w:pPr>
        <w:spacing w:line="360" w:lineRule="auto"/>
        <w:rPr>
          <w:rFonts w:ascii="Garamond" w:eastAsia="Garamond,Baskerville Old Face" w:hAnsi="Garamond" w:cs="Garamond,Baskerville Old Face"/>
        </w:rPr>
      </w:pPr>
      <w:r w:rsidRPr="005611DA">
        <w:rPr>
          <w:rFonts w:ascii="Garamond" w:eastAsia="Baskerville Old Face" w:hAnsi="Garamond"/>
        </w:rPr>
        <w:tab/>
      </w:r>
      <w:r w:rsidRPr="005611DA">
        <w:rPr>
          <w:rFonts w:ascii="Garamond" w:eastAsia="Garamond" w:hAnsi="Garamond" w:cs="Garamond"/>
        </w:rPr>
        <w:t>It is essential to first understand that Cuban trading channels with America were a crucial economic lifeline: more than half of all sugar (Cuba’s biggest export) was sold to the US;</w:t>
      </w:r>
      <w:r w:rsidRPr="005611DA">
        <w:rPr>
          <w:rStyle w:val="FootnoteReference"/>
          <w:rFonts w:ascii="Garamond" w:eastAsia="Garamond,Baskerville Old Face" w:hAnsi="Garamond" w:cs="Garamond,Baskerville Old Face"/>
        </w:rPr>
        <w:footnoteReference w:id="28"/>
      </w:r>
      <w:r w:rsidRPr="005611DA">
        <w:rPr>
          <w:rFonts w:ascii="Garamond" w:eastAsia="Garamond" w:hAnsi="Garamond" w:cs="Garamond"/>
        </w:rPr>
        <w:t xml:space="preserve"> domestic industries relied on vast quantities of imported raw materials;</w:t>
      </w:r>
      <w:r w:rsidRPr="005611DA">
        <w:rPr>
          <w:rStyle w:val="FootnoteReference"/>
          <w:rFonts w:ascii="Garamond" w:eastAsia="Garamond,Baskerville Old Face" w:hAnsi="Garamond" w:cs="Garamond,Baskerville Old Face"/>
        </w:rPr>
        <w:footnoteReference w:id="29"/>
      </w:r>
      <w:r w:rsidRPr="005611DA">
        <w:rPr>
          <w:rFonts w:ascii="Garamond" w:eastAsia="Garamond" w:hAnsi="Garamond" w:cs="Garamond"/>
        </w:rPr>
        <w:t xml:space="preserve"> and total trade with America accounted for around 40 percent of Gross National Product.</w:t>
      </w:r>
      <w:r w:rsidRPr="005611DA">
        <w:rPr>
          <w:rStyle w:val="FootnoteReference"/>
          <w:rFonts w:ascii="Garamond" w:eastAsia="Garamond,Baskerville Old Face" w:hAnsi="Garamond" w:cs="Garamond,Baskerville Old Face"/>
        </w:rPr>
        <w:footnoteReference w:id="30"/>
      </w:r>
      <w:r w:rsidRPr="005611DA">
        <w:rPr>
          <w:rFonts w:ascii="Garamond" w:eastAsia="Garamond" w:hAnsi="Garamond" w:cs="Garamond"/>
        </w:rPr>
        <w:t xml:space="preserve"> Furthermore, the advantages of being a mere ninety miles from the world’s largest economic superpower are obvious. However, instead of capitalising on such advantages, Castro sought to remove the external influence of the US – a quest based on the unfounded belief that Cuba was being stifled by American economic prowess. However, as the decades following the revolution would prove, intransigence towards America only made the Cuban people poorer and less free. This happened for two reasons.</w:t>
      </w:r>
    </w:p>
    <w:p w14:paraId="3289ECAD" w14:textId="77777777" w:rsidR="000A68F6" w:rsidRPr="005611DA" w:rsidRDefault="000A68F6" w:rsidP="00CC3F95">
      <w:pPr>
        <w:spacing w:line="360" w:lineRule="auto"/>
        <w:rPr>
          <w:rFonts w:ascii="Garamond" w:eastAsia="Garamond,Baskerville Old Face" w:hAnsi="Garamond" w:cs="Garamond,Baskerville Old Face"/>
        </w:rPr>
      </w:pPr>
      <w:r w:rsidRPr="005611DA">
        <w:rPr>
          <w:rFonts w:ascii="Garamond" w:eastAsia="Baskerville Old Face" w:hAnsi="Garamond"/>
        </w:rPr>
        <w:tab/>
      </w:r>
      <w:r w:rsidRPr="005611DA">
        <w:rPr>
          <w:rFonts w:ascii="Garamond" w:eastAsia="Garamond" w:hAnsi="Garamond" w:cs="Garamond"/>
        </w:rPr>
        <w:t>The first was that Cuba could not produce nearly as effectively without the assistance of American imports. As far as industry and agriculture were concerned, this was catastrophic: paint factories no longer had access to the pigments and solvents American chemical imports had previously facilitated;</w:t>
      </w:r>
      <w:r w:rsidRPr="005611DA">
        <w:rPr>
          <w:rStyle w:val="FootnoteReference"/>
          <w:rFonts w:ascii="Garamond" w:eastAsia="Garamond,Baskerville Old Face" w:hAnsi="Garamond" w:cs="Garamond,Baskerville Old Face"/>
        </w:rPr>
        <w:footnoteReference w:id="31"/>
      </w:r>
      <w:r w:rsidRPr="005611DA">
        <w:rPr>
          <w:rFonts w:ascii="Garamond" w:eastAsia="Garamond" w:hAnsi="Garamond" w:cs="Garamond"/>
        </w:rPr>
        <w:t xml:space="preserve"> and the US sugar quota which was so vital to farmers was slashed repeatedly until it ceased to exist, and thus Cuban lost its main consumer, to the severe detriment of state farmers.</w:t>
      </w:r>
      <w:r w:rsidRPr="005611DA">
        <w:rPr>
          <w:rStyle w:val="FootnoteReference"/>
          <w:rFonts w:ascii="Garamond" w:eastAsia="Garamond,Baskerville Old Face" w:hAnsi="Garamond" w:cs="Garamond,Baskerville Old Face"/>
        </w:rPr>
        <w:footnoteReference w:id="32"/>
      </w:r>
      <w:r w:rsidRPr="005611DA">
        <w:rPr>
          <w:rFonts w:ascii="Garamond" w:eastAsia="Garamond" w:hAnsi="Garamond" w:cs="Garamond"/>
        </w:rPr>
        <w:t xml:space="preserve"> But the embargo had further consequences, which pierced more profoundly into the conduct of everyday Cuban life. Transport, for example, all but broke down, as repair parts, rubber and petrochemicals could not be imported, leaving a quarter of buses, half of all passenger rail cars and the entire car manufacturing industry inoperable by 1962.</w:t>
      </w:r>
      <w:r w:rsidRPr="005611DA">
        <w:rPr>
          <w:rStyle w:val="FootnoteReference"/>
          <w:rFonts w:ascii="Garamond" w:eastAsia="Garamond,Baskerville Old Face" w:hAnsi="Garamond" w:cs="Garamond,Baskerville Old Face"/>
        </w:rPr>
        <w:footnoteReference w:id="33"/>
      </w:r>
      <w:r w:rsidRPr="005611DA">
        <w:rPr>
          <w:rFonts w:ascii="Garamond" w:eastAsia="Garamond" w:hAnsi="Garamond" w:cs="Garamond"/>
        </w:rPr>
        <w:t xml:space="preserve"> Of greater concern was the embargo’s impact upon health. The end of chemical, antibiotic and detergent imports caused health to deteriorate, as soap and medication became scarce.</w:t>
      </w:r>
      <w:r w:rsidRPr="005611DA">
        <w:rPr>
          <w:rStyle w:val="FootnoteReference"/>
          <w:rFonts w:ascii="Garamond" w:eastAsia="Garamond,Baskerville Old Face" w:hAnsi="Garamond" w:cs="Garamond,Baskerville Old Face"/>
        </w:rPr>
        <w:footnoteReference w:id="34"/>
      </w:r>
      <w:r w:rsidRPr="005611DA">
        <w:rPr>
          <w:rFonts w:ascii="Garamond" w:eastAsia="Garamond" w:hAnsi="Garamond" w:cs="Garamond"/>
        </w:rPr>
        <w:t xml:space="preserve"> In this way, the trade embargo placed a stranglehold on not simply the economy of the Cuban people, but also on their welfare.</w:t>
      </w:r>
    </w:p>
    <w:p w14:paraId="70496816" w14:textId="77777777" w:rsidR="000A68F6" w:rsidRPr="005611DA" w:rsidRDefault="000A68F6" w:rsidP="00CC3F95">
      <w:pPr>
        <w:spacing w:line="360" w:lineRule="auto"/>
        <w:rPr>
          <w:rFonts w:ascii="Garamond" w:eastAsia="Garamond,Baskerville Old Face" w:hAnsi="Garamond" w:cs="Garamond,Baskerville Old Face"/>
        </w:rPr>
      </w:pPr>
      <w:r w:rsidRPr="005611DA">
        <w:rPr>
          <w:rFonts w:ascii="Garamond" w:eastAsia="Baskerville Old Face" w:hAnsi="Garamond"/>
        </w:rPr>
        <w:tab/>
      </w:r>
      <w:r w:rsidRPr="005611DA">
        <w:rPr>
          <w:rFonts w:ascii="Garamond" w:eastAsia="Garamond" w:hAnsi="Garamond" w:cs="Garamond"/>
        </w:rPr>
        <w:t>The breakdown of US-Cuba trading relations opened the door for a new political alliance. The Soviet Union shared with Cuba a rejection of the capitalist imperialism which America represented. By aligning itself with the Communist USSR, the revolution was irrevocably drawn towards socialism, not because of its economic appeal, but for political reasons again tied to nationalism. The very fact that Cuba continued to access the global trading market via the USSR is proof that the revolution was never about a rejection of capitalism; it was simply a rejection of the United States of America.</w:t>
      </w:r>
    </w:p>
    <w:p w14:paraId="4B2AF985" w14:textId="77777777" w:rsidR="000A68F6" w:rsidRPr="005611DA" w:rsidRDefault="000A68F6" w:rsidP="00CC3F95">
      <w:pPr>
        <w:spacing w:line="360" w:lineRule="auto"/>
        <w:rPr>
          <w:rFonts w:ascii="Garamond" w:eastAsia="Garamond,Baskerville Old Face" w:hAnsi="Garamond" w:cs="Garamond,Baskerville Old Face"/>
        </w:rPr>
      </w:pPr>
      <w:r w:rsidRPr="005611DA">
        <w:rPr>
          <w:rFonts w:ascii="Garamond" w:eastAsia="Baskerville Old Face" w:hAnsi="Garamond"/>
        </w:rPr>
        <w:lastRenderedPageBreak/>
        <w:tab/>
      </w:r>
      <w:r w:rsidRPr="005611DA">
        <w:rPr>
          <w:rFonts w:ascii="Garamond" w:eastAsia="Garamond" w:hAnsi="Garamond" w:cs="Garamond"/>
        </w:rPr>
        <w:t>And herein lay the second problem of Cuban trading policy: the reorientation of the direction of Cuban trade toward Russia, as opposed to Cuba’s neighbour, America, was “patently absurd,”</w:t>
      </w:r>
      <w:r w:rsidRPr="005611DA">
        <w:rPr>
          <w:rStyle w:val="FootnoteReference"/>
          <w:rFonts w:ascii="Garamond" w:eastAsia="Garamond,Baskerville Old Face" w:hAnsi="Garamond" w:cs="Garamond,Baskerville Old Face"/>
        </w:rPr>
        <w:footnoteReference w:id="35"/>
      </w:r>
      <w:r w:rsidRPr="005611DA">
        <w:rPr>
          <w:rFonts w:ascii="Garamond" w:eastAsia="Garamond" w:hAnsi="Garamond" w:cs="Garamond"/>
        </w:rPr>
        <w:t xml:space="preserve"> resulting in entirely different problems – practical, monetary and political. In a purely practical sense, the geographical barriers between the USSR and the Caribbean meant that the majority of Cuban imports were now conducted on long-haul shipments. However, the design of Havana’s trading port – from the depth of the water to the efficiency of the unloading equipment – was unable to facilitate these. Poor infrastructure meant that imports from countries within the Communist bloc suffered heavy losses, such as fish rendered inedible because of the lack of sufficient storage facilities. The practical management of Cuban trade was an insurmountable challenge, exacerbated by the differences in standard systems of measurement between East and West, which added to administrative costs.</w:t>
      </w:r>
      <w:r w:rsidRPr="005611DA">
        <w:rPr>
          <w:rStyle w:val="FootnoteReference"/>
          <w:rFonts w:ascii="Garamond" w:eastAsia="Garamond,Baskerville Old Face" w:hAnsi="Garamond" w:cs="Garamond,Baskerville Old Face"/>
        </w:rPr>
        <w:footnoteReference w:id="36"/>
      </w:r>
    </w:p>
    <w:p w14:paraId="4AB341F3" w14:textId="77777777" w:rsidR="000A68F6" w:rsidRPr="005611DA" w:rsidRDefault="000A68F6" w:rsidP="00CC3F95">
      <w:pPr>
        <w:spacing w:line="360" w:lineRule="auto"/>
        <w:rPr>
          <w:rFonts w:ascii="Garamond" w:eastAsia="Garamond,Baskerville Old Face" w:hAnsi="Garamond" w:cs="Garamond,Baskerville Old Face"/>
        </w:rPr>
      </w:pPr>
      <w:r w:rsidRPr="005611DA">
        <w:rPr>
          <w:rFonts w:ascii="Garamond" w:eastAsia="Baskerville Old Face" w:hAnsi="Garamond"/>
        </w:rPr>
        <w:tab/>
      </w:r>
      <w:r w:rsidRPr="005611DA">
        <w:rPr>
          <w:rFonts w:ascii="Garamond" w:eastAsia="Garamond" w:hAnsi="Garamond" w:cs="Garamond"/>
        </w:rPr>
        <w:t>It is safe to conclude that the Cuban quest for economic independence outlined by the revolutionary manifesto was disregarded by the new trading partnership, as membership of the Council of Mutual Economic Assistance (CMEA) forced Cuba into a different kind of dependency; the island was now reliant on the Communist Bloc’s consumption of sugar, and sustained itself economically through access to this market. For example, during the 1970s, trade with the USSR at times accounted for more than 70 percent of all sugar exports.</w:t>
      </w:r>
      <w:r w:rsidRPr="005611DA">
        <w:rPr>
          <w:rStyle w:val="FootnoteReference"/>
          <w:rFonts w:ascii="Garamond" w:eastAsia="Garamond,Baskerville Old Face" w:hAnsi="Garamond" w:cs="Garamond,Baskerville Old Face"/>
        </w:rPr>
        <w:footnoteReference w:id="37"/>
      </w:r>
      <w:r w:rsidRPr="005611DA">
        <w:rPr>
          <w:rFonts w:ascii="Garamond" w:eastAsia="Garamond" w:hAnsi="Garamond" w:cs="Garamond"/>
        </w:rPr>
        <w:t xml:space="preserve"> So the CMEA reinforced an economic monoculture around sugar and thus limited trading options for the nation by virtually restricting Cuba to one consumer.</w:t>
      </w:r>
    </w:p>
    <w:p w14:paraId="59F5F0ED" w14:textId="77777777" w:rsidR="000A68F6" w:rsidRPr="005611DA" w:rsidRDefault="000A68F6" w:rsidP="00CC3F95">
      <w:pPr>
        <w:spacing w:line="360" w:lineRule="auto"/>
        <w:rPr>
          <w:rFonts w:ascii="Garamond" w:eastAsia="Garamond,Baskerville Old Face" w:hAnsi="Garamond" w:cs="Garamond,Baskerville Old Face"/>
        </w:rPr>
      </w:pPr>
      <w:r w:rsidRPr="005611DA">
        <w:rPr>
          <w:rFonts w:ascii="Garamond" w:eastAsia="Baskerville Old Face" w:hAnsi="Garamond"/>
        </w:rPr>
        <w:tab/>
      </w:r>
      <w:r w:rsidRPr="005611DA">
        <w:rPr>
          <w:rFonts w:ascii="Garamond" w:eastAsia="Garamond" w:hAnsi="Garamond" w:cs="Garamond"/>
        </w:rPr>
        <w:t>As to the political implications of the Soviet alliance, these were even more severe. The historian Thomas Paterson keenly observes that Cuba’s very presence as a Communist state “challenged American hegemony in Latin America,”</w:t>
      </w:r>
      <w:r w:rsidRPr="005611DA">
        <w:rPr>
          <w:rStyle w:val="FootnoteReference"/>
          <w:rFonts w:ascii="Garamond" w:eastAsia="Garamond,Baskerville Old Face" w:hAnsi="Garamond" w:cs="Garamond,Baskerville Old Face"/>
        </w:rPr>
        <w:footnoteReference w:id="38"/>
      </w:r>
      <w:r w:rsidRPr="005611DA">
        <w:rPr>
          <w:rFonts w:ascii="Garamond" w:eastAsia="Garamond" w:hAnsi="Garamond" w:cs="Garamond"/>
        </w:rPr>
        <w:t xml:space="preserve"> and the American retaliations to this challenge were violent. The Central Intelligence Agency’s covert operations included paramilitary strikes on tobacco and sugar plantations, copper and nickel mines, oil refineries, storage warehouses, chemical plants and water systems on the island.</w:t>
      </w:r>
      <w:r w:rsidRPr="005611DA">
        <w:rPr>
          <w:rStyle w:val="FootnoteReference"/>
          <w:rFonts w:ascii="Garamond" w:eastAsia="Garamond,Baskerville Old Face" w:hAnsi="Garamond" w:cs="Garamond,Baskerville Old Face"/>
        </w:rPr>
        <w:footnoteReference w:id="39"/>
      </w:r>
      <w:r w:rsidRPr="005611DA">
        <w:rPr>
          <w:rFonts w:ascii="Garamond" w:eastAsia="Garamond" w:hAnsi="Garamond" w:cs="Garamond"/>
        </w:rPr>
        <w:t xml:space="preserve"> These strikes have been blamed for much of Cuba’s underdevelopment, as the infrastructure required for industry and the provision of social services were damaged and in some cases destroyed altogether. When Alexander Haig (a cabinet member of the Nixon administration) eloquently claimed he would “turn that f*cking island into a parking lot,”</w:t>
      </w:r>
      <w:r w:rsidRPr="005611DA">
        <w:rPr>
          <w:rStyle w:val="FootnoteReference"/>
          <w:rFonts w:ascii="Garamond" w:eastAsia="Garamond,Baskerville Old Face" w:hAnsi="Garamond" w:cs="Garamond,Baskerville Old Face"/>
        </w:rPr>
        <w:footnoteReference w:id="40"/>
      </w:r>
      <w:r w:rsidRPr="005611DA">
        <w:rPr>
          <w:rFonts w:ascii="Garamond" w:eastAsia="Garamond" w:hAnsi="Garamond" w:cs="Garamond"/>
        </w:rPr>
        <w:t xml:space="preserve"> it would seem he was about </w:t>
      </w:r>
      <w:r w:rsidR="00BB72BC">
        <w:rPr>
          <w:rFonts w:ascii="Garamond" w:eastAsia="Garamond" w:hAnsi="Garamond" w:cs="Garamond"/>
        </w:rPr>
        <w:t>right. E</w:t>
      </w:r>
      <w:r w:rsidRPr="005611DA">
        <w:rPr>
          <w:rFonts w:ascii="Garamond" w:eastAsia="Garamond" w:hAnsi="Garamond" w:cs="Garamond"/>
        </w:rPr>
        <w:t>conomic historian Helen Yaffe argues that US interference in Cuban society to an extent redeems some of the “mistakes and errors” in economic policy which Castro presided over, insofar as the American stranglehold nullified any attempts at stimulating growth.</w:t>
      </w:r>
      <w:r w:rsidRPr="005611DA">
        <w:rPr>
          <w:rStyle w:val="FootnoteReference"/>
          <w:rFonts w:ascii="Garamond" w:eastAsia="Garamond,Baskerville Old Face" w:hAnsi="Garamond" w:cs="Garamond,Baskerville Old Face"/>
        </w:rPr>
        <w:footnoteReference w:id="41"/>
      </w:r>
      <w:r w:rsidRPr="005611DA">
        <w:rPr>
          <w:rFonts w:ascii="Garamond" w:eastAsia="Garamond" w:hAnsi="Garamond" w:cs="Garamond"/>
        </w:rPr>
        <w:t xml:space="preserve"> But what is abundantly clear is that Castro’s </w:t>
      </w:r>
      <w:r w:rsidRPr="005611DA">
        <w:rPr>
          <w:rFonts w:ascii="Garamond" w:eastAsia="Garamond" w:hAnsi="Garamond" w:cs="Garamond"/>
        </w:rPr>
        <w:lastRenderedPageBreak/>
        <w:t xml:space="preserve">policymaking cannot be redeemed by American aggression because this aggression was necessitated by the nationalist-oriented policies which the government introduced. </w:t>
      </w:r>
    </w:p>
    <w:p w14:paraId="4B289248" w14:textId="77777777" w:rsidR="000A68F6" w:rsidRPr="005611DA" w:rsidRDefault="000A68F6" w:rsidP="00CC3F95">
      <w:pPr>
        <w:spacing w:line="360" w:lineRule="auto"/>
        <w:rPr>
          <w:rFonts w:ascii="Garamond" w:eastAsia="Garamond,Baskerville Old Face" w:hAnsi="Garamond" w:cs="Garamond,Baskerville Old Face"/>
        </w:rPr>
      </w:pPr>
      <w:r w:rsidRPr="005611DA">
        <w:rPr>
          <w:rFonts w:ascii="Garamond" w:eastAsia="Baskerville Old Face" w:hAnsi="Garamond"/>
        </w:rPr>
        <w:tab/>
      </w:r>
      <w:r w:rsidRPr="005611DA">
        <w:rPr>
          <w:rFonts w:ascii="Garamond" w:eastAsia="Garamond" w:hAnsi="Garamond" w:cs="Garamond"/>
        </w:rPr>
        <w:t>What we are, therefore, left with is a tension between two conflicting influences on the Cuban economy: between homegrown Communism and foreign quasi-imperialism. Though it is easy to point to the embargo and oppression from the US as a complete explanation, it cannot be ignored that the anti-American stance of the revolution fed into American aggression once the 26</w:t>
      </w:r>
      <w:r w:rsidRPr="005611DA">
        <w:rPr>
          <w:rFonts w:ascii="Garamond" w:eastAsia="Garamond" w:hAnsi="Garamond" w:cs="Garamond"/>
          <w:vertAlign w:val="superscript"/>
        </w:rPr>
        <w:t>th</w:t>
      </w:r>
      <w:r w:rsidRPr="005611DA">
        <w:rPr>
          <w:rFonts w:ascii="Garamond" w:eastAsia="Garamond" w:hAnsi="Garamond" w:cs="Garamond"/>
        </w:rPr>
        <w:t xml:space="preserve"> of July Movement had seized power.</w:t>
      </w:r>
    </w:p>
    <w:p w14:paraId="6E80BA5B" w14:textId="77777777" w:rsidR="000A68F6" w:rsidRPr="005611DA" w:rsidRDefault="000A68F6" w:rsidP="00CC3F95">
      <w:pPr>
        <w:spacing w:line="360" w:lineRule="auto"/>
        <w:rPr>
          <w:rFonts w:ascii="Garamond" w:eastAsia="Baskerville Old Face" w:hAnsi="Garamond"/>
        </w:rPr>
      </w:pPr>
    </w:p>
    <w:p w14:paraId="5B7A2BF8" w14:textId="77777777" w:rsidR="000A68F6" w:rsidRPr="005611DA" w:rsidRDefault="000A68F6" w:rsidP="00CC3F95">
      <w:pPr>
        <w:spacing w:line="360" w:lineRule="auto"/>
        <w:rPr>
          <w:rFonts w:ascii="Garamond" w:eastAsia="Garamond" w:hAnsi="Garamond" w:cs="Garamond"/>
        </w:rPr>
      </w:pPr>
      <w:r w:rsidRPr="005611DA">
        <w:rPr>
          <w:rFonts w:ascii="Garamond" w:eastAsia="Garamond" w:hAnsi="Garamond" w:cs="Garamond"/>
        </w:rPr>
        <w:t>On 17</w:t>
      </w:r>
      <w:r w:rsidRPr="005611DA">
        <w:rPr>
          <w:rFonts w:ascii="Garamond" w:eastAsia="Garamond" w:hAnsi="Garamond" w:cs="Garamond"/>
          <w:vertAlign w:val="superscript"/>
        </w:rPr>
        <w:t>th</w:t>
      </w:r>
      <w:r w:rsidRPr="005611DA">
        <w:rPr>
          <w:rFonts w:ascii="Garamond" w:eastAsia="Garamond" w:hAnsi="Garamond" w:cs="Garamond"/>
        </w:rPr>
        <w:t xml:space="preserve"> December 2014, Cuba’s fortunes were again changed. After the fall of the Soviet Union and the socio-economic plight that ensued; and after decades of scarcity and hostility, Barack Obama and Raúl Castro announced the beginning of a restoration of US-Cuba relations. Why was this so rapturously celebrated? Was the lifting of the embargo a sign that Cuban socialism was reaching its end? (Clearly this is not the case – Cuba still has little-to-no wage differentials, and the state continues to employ around 70 percent of workers)</w:t>
      </w:r>
      <w:r w:rsidRPr="005611DA">
        <w:rPr>
          <w:rStyle w:val="FootnoteReference"/>
          <w:rFonts w:ascii="Garamond" w:eastAsia="Garamond" w:hAnsi="Garamond" w:cs="Garamond"/>
        </w:rPr>
        <w:footnoteReference w:id="42"/>
      </w:r>
      <w:r w:rsidRPr="005611DA">
        <w:rPr>
          <w:rFonts w:ascii="Garamond" w:eastAsia="Garamond" w:hAnsi="Garamond" w:cs="Garamond"/>
        </w:rPr>
        <w:t>. The end of the embargo was instead symbolic of the failure of nationalism. No longer would Cuba stand in defiance of its capitalist neighbour, but shall instead welcome free trade with its former “oppressor”. From redistributing farming land and diversifying produce in an attempt to eradicate economic dependency on sugar; to nationalising industries and businesses with a view to reducing American influence and unifying the national economy; to finally ending all trade with America hoping to achieve freedom from the dominant American economic juggernaut, Cuba’s revolutionary history is a narrative of nationalism and independence informing the socialist system. However, as has been demonstrated by the nation’s significant underdevelopment this did not provide the economic stability necessary to consolidate the revolution’s success; thus, Cuba’s history has been turbulent and caustic. The greatest irony of all is that, in battling dependency on the US, Cuba actually made itself more dependent on Russia than any precedent suggests.</w:t>
      </w:r>
    </w:p>
    <w:p w14:paraId="78F5AD1F" w14:textId="77777777" w:rsidR="000A68F6" w:rsidRPr="008234CC" w:rsidRDefault="000A68F6" w:rsidP="008234CC">
      <w:pPr>
        <w:spacing w:line="360" w:lineRule="auto"/>
        <w:ind w:firstLine="720"/>
        <w:rPr>
          <w:rFonts w:ascii="Garamond" w:eastAsia="Garamond" w:hAnsi="Garamond" w:cs="Garamond"/>
        </w:rPr>
      </w:pPr>
      <w:r w:rsidRPr="005611DA">
        <w:rPr>
          <w:rFonts w:ascii="Garamond" w:eastAsia="Garamond" w:hAnsi="Garamond" w:cs="Garamond"/>
        </w:rPr>
        <w:t>The practice of history lies not, however, in the analysis of facts, but instead in lessons learned. The conclusion we may reach is not that the Cuban Revolution was an unmitigated economic disaster, nor that American hegemony is entirely blameless. Rather, it was a complex web of competing factors – all of which point to economic nationalism. As the climate in Latin America is changing, so too must the old values which defined the 20</w:t>
      </w:r>
      <w:r w:rsidRPr="005611DA">
        <w:rPr>
          <w:rFonts w:ascii="Garamond" w:eastAsia="Garamond" w:hAnsi="Garamond" w:cs="Garamond"/>
          <w:vertAlign w:val="superscript"/>
        </w:rPr>
        <w:t>th</w:t>
      </w:r>
      <w:r w:rsidRPr="005611DA">
        <w:rPr>
          <w:rFonts w:ascii="Garamond" w:eastAsia="Garamond" w:hAnsi="Garamond" w:cs="Garamond"/>
        </w:rPr>
        <w:t>-century. The socio-economic development of revolutionary Cuba may stand as testament to the policymakers of the future of planning an economy based on ideology rather than practical sense. It is important, therefore, to remember the Cuban experiment as we progress into an age not entirely dissimilar to Castro’s – one in which our world is suffused with hope for future betterment.</w:t>
      </w:r>
    </w:p>
    <w:p w14:paraId="03FF6AE9" w14:textId="77777777" w:rsidR="000A68F6" w:rsidRPr="005611DA" w:rsidRDefault="000A68F6" w:rsidP="00CC3F95">
      <w:pPr>
        <w:rPr>
          <w:rFonts w:ascii="Garamond" w:eastAsia="Garamond" w:hAnsi="Garamond" w:cs="Garamond"/>
          <w:b/>
          <w:bCs/>
          <w:sz w:val="28"/>
          <w:szCs w:val="28"/>
          <w:u w:val="single"/>
        </w:rPr>
      </w:pPr>
      <w:r w:rsidRPr="005611DA">
        <w:rPr>
          <w:rFonts w:ascii="Garamond" w:eastAsia="Garamond" w:hAnsi="Garamond" w:cs="Garamond"/>
          <w:b/>
          <w:bCs/>
          <w:sz w:val="28"/>
          <w:szCs w:val="28"/>
          <w:u w:val="single"/>
        </w:rPr>
        <w:lastRenderedPageBreak/>
        <w:t>Bibliography</w:t>
      </w:r>
    </w:p>
    <w:p w14:paraId="78B52ECE" w14:textId="77777777" w:rsidR="00CA1F5B" w:rsidRDefault="00CA1F5B" w:rsidP="00CC3F95">
      <w:pPr>
        <w:rPr>
          <w:rFonts w:ascii="Garamond" w:hAnsi="Garamond"/>
          <w:b/>
          <w:sz w:val="28"/>
          <w:szCs w:val="28"/>
          <w:u w:val="single"/>
        </w:rPr>
      </w:pPr>
    </w:p>
    <w:p w14:paraId="59D17D96" w14:textId="77777777" w:rsidR="00CA1F5B" w:rsidRDefault="00CA1F5B" w:rsidP="00CC3F95">
      <w:pPr>
        <w:rPr>
          <w:rFonts w:ascii="Garamond" w:hAnsi="Garamond"/>
          <w:b/>
          <w:sz w:val="28"/>
          <w:szCs w:val="28"/>
          <w:u w:val="single"/>
        </w:rPr>
      </w:pPr>
    </w:p>
    <w:p w14:paraId="54CBBAEF" w14:textId="77777777" w:rsidR="000A68F6" w:rsidRPr="005611DA" w:rsidRDefault="000A68F6" w:rsidP="00CC3F95">
      <w:pPr>
        <w:rPr>
          <w:rFonts w:ascii="Garamond" w:eastAsia="Garamond" w:hAnsi="Garamond" w:cs="Garamond"/>
          <w:i/>
          <w:iCs/>
          <w:sz w:val="28"/>
          <w:szCs w:val="28"/>
        </w:rPr>
      </w:pPr>
      <w:r w:rsidRPr="005611DA">
        <w:rPr>
          <w:rFonts w:ascii="Garamond" w:eastAsia="Garamond" w:hAnsi="Garamond" w:cs="Garamond"/>
          <w:i/>
          <w:iCs/>
          <w:sz w:val="28"/>
          <w:szCs w:val="28"/>
        </w:rPr>
        <w:t>Primary Sources:</w:t>
      </w:r>
    </w:p>
    <w:p w14:paraId="26CF3BB1" w14:textId="77777777" w:rsidR="000A68F6" w:rsidRPr="005611DA" w:rsidRDefault="000A68F6" w:rsidP="00CC3F95">
      <w:pPr>
        <w:rPr>
          <w:rFonts w:ascii="Garamond" w:hAnsi="Garamond"/>
        </w:rPr>
      </w:pPr>
    </w:p>
    <w:p w14:paraId="7731B91C" w14:textId="77777777" w:rsidR="000A68F6" w:rsidRPr="005611DA" w:rsidRDefault="000A68F6" w:rsidP="00CC3F95">
      <w:pPr>
        <w:rPr>
          <w:rFonts w:ascii="Garamond" w:hAnsi="Garamond"/>
        </w:rPr>
      </w:pPr>
    </w:p>
    <w:p w14:paraId="49974FC6" w14:textId="77777777" w:rsidR="000A68F6" w:rsidRPr="005611DA" w:rsidRDefault="000A68F6" w:rsidP="00CC3F95">
      <w:pPr>
        <w:rPr>
          <w:rFonts w:ascii="Garamond" w:eastAsia="Garamond" w:hAnsi="Garamond" w:cs="Garamond"/>
        </w:rPr>
      </w:pPr>
      <w:r w:rsidRPr="005611DA">
        <w:rPr>
          <w:rFonts w:ascii="Garamond" w:eastAsia="Garamond" w:hAnsi="Garamond" w:cs="Garamond"/>
        </w:rPr>
        <w:t xml:space="preserve">Castro, Fidel, ‘History Will Absolve Me’, in M. Harnecker, ed., </w:t>
      </w:r>
      <w:r w:rsidRPr="005611DA">
        <w:rPr>
          <w:rFonts w:ascii="Garamond" w:eastAsia="Garamond" w:hAnsi="Garamond" w:cs="Garamond"/>
          <w:i/>
          <w:iCs/>
        </w:rPr>
        <w:t>Fidel Castro’s Political Strategy: from Moncada to Victory</w:t>
      </w:r>
      <w:r w:rsidRPr="005611DA">
        <w:rPr>
          <w:rFonts w:ascii="Garamond" w:eastAsia="Garamond" w:hAnsi="Garamond" w:cs="Garamond"/>
        </w:rPr>
        <w:t>, Pathfinder Press (1987), p. 102-113</w:t>
      </w:r>
    </w:p>
    <w:p w14:paraId="4CDC2849" w14:textId="77777777" w:rsidR="000A68F6" w:rsidRPr="005611DA" w:rsidRDefault="000A68F6" w:rsidP="00CC3F95">
      <w:pPr>
        <w:rPr>
          <w:rFonts w:ascii="Garamond" w:hAnsi="Garamond"/>
        </w:rPr>
      </w:pPr>
    </w:p>
    <w:p w14:paraId="35024BB1" w14:textId="77777777" w:rsidR="000A68F6" w:rsidRPr="005611DA" w:rsidRDefault="000A68F6" w:rsidP="00CC3F95">
      <w:pPr>
        <w:rPr>
          <w:rFonts w:ascii="Garamond" w:eastAsia="Garamond" w:hAnsi="Garamond" w:cs="Garamond"/>
          <w:u w:val="single"/>
        </w:rPr>
      </w:pPr>
      <w:r w:rsidRPr="005611DA">
        <w:rPr>
          <w:rFonts w:ascii="Garamond" w:eastAsia="Garamond" w:hAnsi="Garamond" w:cs="Garamond"/>
        </w:rPr>
        <w:t xml:space="preserve">Castro, Fidel, ‘Castro Announces the Revolution’, in A. Chomsky et al., eds., </w:t>
      </w:r>
      <w:r w:rsidRPr="005611DA">
        <w:rPr>
          <w:rFonts w:ascii="Garamond" w:eastAsia="Garamond" w:hAnsi="Garamond" w:cs="Garamond"/>
          <w:i/>
          <w:iCs/>
        </w:rPr>
        <w:t>The Cuba Reader: History, Culture, Politics</w:t>
      </w:r>
      <w:r w:rsidRPr="005611DA">
        <w:rPr>
          <w:rFonts w:ascii="Garamond" w:eastAsia="Garamond" w:hAnsi="Garamond" w:cs="Garamond"/>
        </w:rPr>
        <w:t>, Duke University Press (2004), p. 341-343</w:t>
      </w:r>
    </w:p>
    <w:p w14:paraId="341E909B" w14:textId="77777777" w:rsidR="000A68F6" w:rsidRPr="005611DA" w:rsidRDefault="000A68F6" w:rsidP="00CC3F95">
      <w:pPr>
        <w:rPr>
          <w:rFonts w:ascii="Garamond" w:hAnsi="Garamond"/>
        </w:rPr>
      </w:pPr>
    </w:p>
    <w:p w14:paraId="139E52D8" w14:textId="77777777" w:rsidR="000A68F6" w:rsidRPr="005611DA" w:rsidRDefault="000A68F6" w:rsidP="00CC3F95">
      <w:pPr>
        <w:rPr>
          <w:rFonts w:ascii="Garamond" w:eastAsia="Garamond" w:hAnsi="Garamond" w:cs="Garamond"/>
        </w:rPr>
      </w:pPr>
      <w:r w:rsidRPr="005611DA">
        <w:rPr>
          <w:rFonts w:ascii="Garamond" w:eastAsia="Garamond" w:hAnsi="Garamond" w:cs="Garamond"/>
        </w:rPr>
        <w:t xml:space="preserve">Guevara, Ernesto, ‘Man and Socialism’ in A. Chomsky et al., eds., </w:t>
      </w:r>
      <w:r w:rsidRPr="005611DA">
        <w:rPr>
          <w:rFonts w:ascii="Garamond" w:eastAsia="Garamond" w:hAnsi="Garamond" w:cs="Garamond"/>
          <w:i/>
          <w:iCs/>
        </w:rPr>
        <w:t>The Cuba Reader: History, Culture, Politics</w:t>
      </w:r>
      <w:r w:rsidRPr="005611DA">
        <w:rPr>
          <w:rFonts w:ascii="Garamond" w:eastAsia="Garamond" w:hAnsi="Garamond" w:cs="Garamond"/>
        </w:rPr>
        <w:t>, Duke University Press (2004), p. 370-374</w:t>
      </w:r>
    </w:p>
    <w:p w14:paraId="3BDCD55A" w14:textId="77777777" w:rsidR="000A68F6" w:rsidRPr="005611DA" w:rsidRDefault="000A68F6" w:rsidP="00CC3F95">
      <w:pPr>
        <w:rPr>
          <w:rFonts w:ascii="Garamond" w:hAnsi="Garamond"/>
        </w:rPr>
      </w:pPr>
    </w:p>
    <w:p w14:paraId="21F1AFF8" w14:textId="77777777" w:rsidR="000A68F6" w:rsidRPr="005611DA" w:rsidRDefault="000A68F6" w:rsidP="00CC3F95">
      <w:pPr>
        <w:rPr>
          <w:rFonts w:ascii="Garamond" w:eastAsia="Garamond" w:hAnsi="Garamond" w:cs="Garamond"/>
        </w:rPr>
      </w:pPr>
      <w:r w:rsidRPr="005611DA">
        <w:rPr>
          <w:rFonts w:ascii="Garamond" w:eastAsia="Garamond" w:hAnsi="Garamond" w:cs="Garamond"/>
        </w:rPr>
        <w:t xml:space="preserve">Rodríguez, Silvio, ‘Tornado’ (‘Rabo de nube’) in A. Chomsky et al., eds., </w:t>
      </w:r>
      <w:r w:rsidRPr="005611DA">
        <w:rPr>
          <w:rFonts w:ascii="Garamond" w:eastAsia="Garamond" w:hAnsi="Garamond" w:cs="Garamond"/>
          <w:i/>
          <w:iCs/>
        </w:rPr>
        <w:t>The Cuba Reader: History, Culture, Politics</w:t>
      </w:r>
      <w:r w:rsidRPr="005611DA">
        <w:rPr>
          <w:rFonts w:ascii="Garamond" w:eastAsia="Garamond" w:hAnsi="Garamond" w:cs="Garamond"/>
        </w:rPr>
        <w:t>, Duke University Press (2004), p. 340</w:t>
      </w:r>
    </w:p>
    <w:p w14:paraId="4FF88181" w14:textId="77777777" w:rsidR="000A68F6" w:rsidRPr="005611DA" w:rsidRDefault="000A68F6" w:rsidP="00CC3F95">
      <w:pPr>
        <w:rPr>
          <w:rFonts w:ascii="Garamond" w:hAnsi="Garamond"/>
        </w:rPr>
      </w:pPr>
    </w:p>
    <w:p w14:paraId="0B8D057D" w14:textId="77777777" w:rsidR="000A68F6" w:rsidRPr="005611DA" w:rsidRDefault="000A68F6" w:rsidP="00CC3F95">
      <w:pPr>
        <w:rPr>
          <w:rFonts w:ascii="Garamond" w:eastAsia="Garamond" w:hAnsi="Garamond" w:cs="Garamond"/>
        </w:rPr>
      </w:pPr>
      <w:r w:rsidRPr="005611DA">
        <w:rPr>
          <w:rFonts w:ascii="Garamond" w:eastAsia="Garamond" w:hAnsi="Garamond" w:cs="Garamond"/>
        </w:rPr>
        <w:t xml:space="preserve">Oficina Nacional de Estadísticas, </w:t>
      </w:r>
      <w:r w:rsidRPr="005611DA">
        <w:rPr>
          <w:rFonts w:ascii="Garamond" w:eastAsia="Garamond" w:hAnsi="Garamond" w:cs="Garamond"/>
          <w:i/>
          <w:iCs/>
        </w:rPr>
        <w:t>Estadísticas en la Revolución</w:t>
      </w:r>
      <w:r w:rsidRPr="005611DA">
        <w:rPr>
          <w:rFonts w:ascii="Garamond" w:eastAsia="Garamond" w:hAnsi="Garamond" w:cs="Garamond"/>
        </w:rPr>
        <w:t xml:space="preserve"> (2009)</w:t>
      </w:r>
    </w:p>
    <w:p w14:paraId="3C1834CC" w14:textId="77777777" w:rsidR="000A68F6" w:rsidRPr="005611DA" w:rsidRDefault="000A68F6" w:rsidP="00CC3F95">
      <w:pPr>
        <w:rPr>
          <w:rFonts w:ascii="Garamond" w:eastAsia="Garamond" w:hAnsi="Garamond" w:cs="Garamond"/>
        </w:rPr>
      </w:pPr>
      <w:r w:rsidRPr="005611DA">
        <w:rPr>
          <w:rFonts w:ascii="Garamond" w:eastAsia="Garamond" w:hAnsi="Garamond" w:cs="Garamond"/>
        </w:rPr>
        <w:t xml:space="preserve">Available at: </w:t>
      </w:r>
      <w:hyperlink r:id="rId6">
        <w:r w:rsidRPr="005611DA">
          <w:rPr>
            <w:rStyle w:val="Hyperlink"/>
            <w:rFonts w:ascii="Garamond" w:eastAsia="Garamond" w:hAnsi="Garamond" w:cs="Garamond"/>
          </w:rPr>
          <w:t>http://www.one.cu/publicaciones/50aniversario/medio%20ambiente/public%20completa.pdf</w:t>
        </w:r>
      </w:hyperlink>
      <w:r w:rsidRPr="005611DA">
        <w:rPr>
          <w:rFonts w:ascii="Garamond" w:eastAsia="Garamond" w:hAnsi="Garamond" w:cs="Garamond"/>
        </w:rPr>
        <w:t xml:space="preserve"> </w:t>
      </w:r>
    </w:p>
    <w:p w14:paraId="07AE4C48" w14:textId="77777777" w:rsidR="00CA1F5B" w:rsidRDefault="00CA1F5B" w:rsidP="00CC3F95">
      <w:pPr>
        <w:rPr>
          <w:rFonts w:ascii="Garamond" w:hAnsi="Garamond"/>
        </w:rPr>
      </w:pPr>
    </w:p>
    <w:p w14:paraId="44B11549" w14:textId="77777777" w:rsidR="00CA1F5B" w:rsidRDefault="00CA1F5B" w:rsidP="00CC3F95">
      <w:pPr>
        <w:rPr>
          <w:rFonts w:ascii="Garamond" w:hAnsi="Garamond"/>
        </w:rPr>
      </w:pPr>
    </w:p>
    <w:p w14:paraId="588A7506" w14:textId="77777777" w:rsidR="00CA1F5B" w:rsidRDefault="00CA1F5B" w:rsidP="00CC3F95">
      <w:pPr>
        <w:rPr>
          <w:rFonts w:ascii="Garamond" w:hAnsi="Garamond"/>
        </w:rPr>
      </w:pPr>
    </w:p>
    <w:p w14:paraId="52B84969" w14:textId="77777777" w:rsidR="000A68F6" w:rsidRPr="005611DA" w:rsidRDefault="000A68F6" w:rsidP="00CC3F95">
      <w:pPr>
        <w:rPr>
          <w:rFonts w:ascii="Garamond" w:eastAsia="Garamond" w:hAnsi="Garamond" w:cs="Garamond"/>
          <w:i/>
          <w:iCs/>
          <w:sz w:val="28"/>
          <w:szCs w:val="28"/>
        </w:rPr>
      </w:pPr>
      <w:r w:rsidRPr="005611DA">
        <w:rPr>
          <w:rFonts w:ascii="Garamond" w:eastAsia="Garamond" w:hAnsi="Garamond" w:cs="Garamond"/>
          <w:i/>
          <w:iCs/>
          <w:sz w:val="28"/>
          <w:szCs w:val="28"/>
        </w:rPr>
        <w:t>Secondary Sources:</w:t>
      </w:r>
    </w:p>
    <w:p w14:paraId="02E52002" w14:textId="77777777" w:rsidR="005E7443" w:rsidRDefault="005E7443" w:rsidP="00CC3F95">
      <w:pPr>
        <w:rPr>
          <w:rFonts w:ascii="Garamond" w:hAnsi="Garamond"/>
        </w:rPr>
      </w:pPr>
    </w:p>
    <w:p w14:paraId="2B099E8E" w14:textId="77777777" w:rsidR="005E7443" w:rsidRDefault="005E7443" w:rsidP="00CC3F95">
      <w:pPr>
        <w:rPr>
          <w:rFonts w:ascii="Garamond" w:hAnsi="Garamond"/>
        </w:rPr>
      </w:pPr>
    </w:p>
    <w:p w14:paraId="2B147F69" w14:textId="77777777" w:rsidR="000A68F6" w:rsidRPr="005611DA" w:rsidRDefault="000A68F6" w:rsidP="00CC3F95">
      <w:pPr>
        <w:rPr>
          <w:rFonts w:ascii="Garamond" w:eastAsia="Garamond" w:hAnsi="Garamond" w:cs="Garamond"/>
          <w:sz w:val="24"/>
          <w:szCs w:val="24"/>
          <w:u w:val="single"/>
        </w:rPr>
      </w:pPr>
      <w:r w:rsidRPr="005611DA">
        <w:rPr>
          <w:rFonts w:ascii="Garamond" w:eastAsia="Garamond" w:hAnsi="Garamond" w:cs="Garamond"/>
          <w:sz w:val="24"/>
          <w:szCs w:val="24"/>
          <w:u w:val="single"/>
        </w:rPr>
        <w:t>Articles</w:t>
      </w:r>
    </w:p>
    <w:p w14:paraId="4C68B71C" w14:textId="77777777" w:rsidR="000A68F6" w:rsidRPr="005611DA" w:rsidRDefault="000A68F6" w:rsidP="00CC3F95">
      <w:pPr>
        <w:rPr>
          <w:rFonts w:ascii="Garamond" w:hAnsi="Garamond"/>
          <w:u w:val="single"/>
        </w:rPr>
      </w:pPr>
    </w:p>
    <w:p w14:paraId="68459073" w14:textId="77777777" w:rsidR="000A68F6" w:rsidRPr="005611DA" w:rsidRDefault="000A68F6" w:rsidP="00CC3F95">
      <w:pPr>
        <w:rPr>
          <w:rFonts w:ascii="Garamond" w:eastAsia="Garamond" w:hAnsi="Garamond" w:cs="Garamond"/>
          <w:u w:val="single"/>
        </w:rPr>
      </w:pPr>
      <w:r w:rsidRPr="005611DA">
        <w:rPr>
          <w:rFonts w:ascii="Garamond" w:eastAsia="Garamond" w:hAnsi="Garamond" w:cs="Garamond"/>
        </w:rPr>
        <w:t xml:space="preserve">Benjamin, Medea, Joseph Collins and Michael Scott, ‘The Agrarian Revolution’ in Aviva Chomsky et al., eds., </w:t>
      </w:r>
      <w:r w:rsidRPr="005611DA">
        <w:rPr>
          <w:rFonts w:ascii="Garamond" w:eastAsia="Garamond" w:hAnsi="Garamond" w:cs="Garamond"/>
          <w:i/>
          <w:iCs/>
        </w:rPr>
        <w:t>The Cuba Reader: History, Culture, Politics</w:t>
      </w:r>
      <w:r w:rsidRPr="005611DA">
        <w:rPr>
          <w:rFonts w:ascii="Garamond" w:eastAsia="Garamond" w:hAnsi="Garamond" w:cs="Garamond"/>
        </w:rPr>
        <w:t>, Duke University Press (2004)</w:t>
      </w:r>
    </w:p>
    <w:p w14:paraId="4FC37F77" w14:textId="77777777" w:rsidR="000A68F6" w:rsidRPr="005611DA" w:rsidRDefault="000A68F6" w:rsidP="00CC3F95">
      <w:pPr>
        <w:pStyle w:val="FootnoteText"/>
        <w:rPr>
          <w:rFonts w:ascii="Garamond" w:hAnsi="Garamond"/>
          <w:sz w:val="22"/>
          <w:szCs w:val="22"/>
        </w:rPr>
      </w:pPr>
    </w:p>
    <w:p w14:paraId="19FDE375"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Bianchi, Andrés, ‘Agriculture: Post-Revolutionary Developments’ in D. Seers, ed., </w:t>
      </w:r>
      <w:r w:rsidRPr="005611DA">
        <w:rPr>
          <w:rFonts w:ascii="Garamond" w:eastAsia="Garamond" w:hAnsi="Garamond" w:cs="Garamond"/>
          <w:i/>
          <w:iCs/>
          <w:sz w:val="22"/>
          <w:szCs w:val="22"/>
        </w:rPr>
        <w:t>Cuba: The Economic and Social Revolution</w:t>
      </w:r>
      <w:r w:rsidRPr="005611DA">
        <w:rPr>
          <w:rFonts w:ascii="Garamond" w:eastAsia="Garamond" w:hAnsi="Garamond" w:cs="Garamond"/>
          <w:sz w:val="22"/>
          <w:szCs w:val="22"/>
        </w:rPr>
        <w:t xml:space="preserve"> (1964)</w:t>
      </w:r>
    </w:p>
    <w:p w14:paraId="3C0BB035" w14:textId="77777777" w:rsidR="000A68F6" w:rsidRPr="005611DA" w:rsidRDefault="000A68F6" w:rsidP="00CC3F95">
      <w:pPr>
        <w:pStyle w:val="FootnoteText"/>
        <w:rPr>
          <w:rFonts w:ascii="Garamond" w:hAnsi="Garamond"/>
          <w:sz w:val="22"/>
          <w:szCs w:val="22"/>
        </w:rPr>
      </w:pPr>
    </w:p>
    <w:p w14:paraId="2773BDA4"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Binkley, Sam, and Jorge Capetillo-Ponce, ‘Foucault, Marxism and the Cuban Revolution: Historical and Contemporary Reflections’, </w:t>
      </w:r>
      <w:r w:rsidRPr="005611DA">
        <w:rPr>
          <w:rFonts w:ascii="Garamond" w:eastAsia="Garamond" w:hAnsi="Garamond" w:cs="Garamond"/>
          <w:i/>
          <w:iCs/>
          <w:sz w:val="22"/>
          <w:szCs w:val="22"/>
        </w:rPr>
        <w:t>Rethinking Marxism: A Journal of Economics, Culture &amp; Society</w:t>
      </w:r>
      <w:r w:rsidRPr="005611DA">
        <w:rPr>
          <w:rFonts w:ascii="Garamond" w:eastAsia="Garamond" w:hAnsi="Garamond" w:cs="Garamond"/>
          <w:sz w:val="22"/>
          <w:szCs w:val="22"/>
        </w:rPr>
        <w:t xml:space="preserve"> 20.3 (2008)</w:t>
      </w:r>
    </w:p>
    <w:p w14:paraId="1E3F14FF"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Available at: </w:t>
      </w:r>
      <w:hyperlink r:id="rId7">
        <w:r w:rsidRPr="005611DA">
          <w:rPr>
            <w:rStyle w:val="Hyperlink"/>
            <w:rFonts w:ascii="Garamond" w:eastAsia="Garamond" w:hAnsi="Garamond" w:cs="Garamond"/>
            <w:sz w:val="22"/>
            <w:szCs w:val="22"/>
          </w:rPr>
          <w:t>https://scholarworks.umb.edu/cgi/viewcontent.cgi?article=1003&amp;context=sociology_faculty_pubs</w:t>
        </w:r>
      </w:hyperlink>
      <w:r w:rsidRPr="005611DA">
        <w:rPr>
          <w:rFonts w:ascii="Garamond" w:eastAsia="Garamond" w:hAnsi="Garamond" w:cs="Garamond"/>
          <w:sz w:val="22"/>
          <w:szCs w:val="22"/>
        </w:rPr>
        <w:t xml:space="preserve"> </w:t>
      </w:r>
    </w:p>
    <w:p w14:paraId="75153AFF" w14:textId="77777777" w:rsidR="000A68F6" w:rsidRPr="005611DA" w:rsidRDefault="000A68F6" w:rsidP="00CC3F95">
      <w:pPr>
        <w:pStyle w:val="FootnoteText"/>
        <w:rPr>
          <w:rFonts w:ascii="Garamond" w:hAnsi="Garamond"/>
          <w:sz w:val="22"/>
          <w:szCs w:val="22"/>
        </w:rPr>
      </w:pPr>
    </w:p>
    <w:p w14:paraId="4A8549F6"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Anon., ‘Heroic Myth and Prosaic Failure’, </w:t>
      </w:r>
      <w:r w:rsidRPr="005611DA">
        <w:rPr>
          <w:rFonts w:ascii="Garamond" w:eastAsia="Garamond" w:hAnsi="Garamond" w:cs="Garamond"/>
          <w:i/>
          <w:iCs/>
          <w:sz w:val="22"/>
          <w:szCs w:val="22"/>
        </w:rPr>
        <w:t>The Economist</w:t>
      </w:r>
      <w:r w:rsidRPr="005611DA">
        <w:rPr>
          <w:rFonts w:ascii="Garamond" w:eastAsia="Garamond" w:hAnsi="Garamond" w:cs="Garamond"/>
          <w:sz w:val="22"/>
          <w:szCs w:val="22"/>
        </w:rPr>
        <w:t xml:space="preserve"> (2008)</w:t>
      </w:r>
    </w:p>
    <w:p w14:paraId="76734FFC"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Available at: </w:t>
      </w:r>
      <w:hyperlink r:id="rId8">
        <w:r w:rsidRPr="005611DA">
          <w:rPr>
            <w:rStyle w:val="Hyperlink"/>
            <w:rFonts w:ascii="Garamond" w:eastAsia="Garamond" w:hAnsi="Garamond" w:cs="Garamond"/>
            <w:sz w:val="22"/>
            <w:szCs w:val="22"/>
          </w:rPr>
          <w:t>https://www.economist.com/briefing/2008/12/30/heroic-myth-and-prosaic-failure</w:t>
        </w:r>
      </w:hyperlink>
      <w:r w:rsidRPr="005611DA">
        <w:rPr>
          <w:rFonts w:ascii="Garamond" w:eastAsia="Garamond" w:hAnsi="Garamond" w:cs="Garamond"/>
          <w:sz w:val="22"/>
          <w:szCs w:val="22"/>
        </w:rPr>
        <w:t xml:space="preserve"> </w:t>
      </w:r>
    </w:p>
    <w:p w14:paraId="40D06CC9" w14:textId="77777777" w:rsidR="000A68F6" w:rsidRPr="005611DA" w:rsidRDefault="000A68F6" w:rsidP="00CC3F95">
      <w:pPr>
        <w:pStyle w:val="FootnoteText"/>
        <w:rPr>
          <w:rFonts w:ascii="Garamond" w:hAnsi="Garamond"/>
          <w:sz w:val="22"/>
          <w:szCs w:val="22"/>
        </w:rPr>
      </w:pPr>
    </w:p>
    <w:p w14:paraId="16EA26C6" w14:textId="77777777" w:rsidR="000A68F6" w:rsidRPr="005611DA" w:rsidRDefault="000A68F6" w:rsidP="00CC3F95">
      <w:pPr>
        <w:pStyle w:val="FootnoteText"/>
        <w:rPr>
          <w:rFonts w:ascii="Garamond" w:eastAsia="Garamond,Times New Roman" w:hAnsi="Garamond" w:cs="Garamond,Times New Roman"/>
          <w:sz w:val="22"/>
          <w:szCs w:val="22"/>
        </w:rPr>
      </w:pPr>
      <w:r w:rsidRPr="005611DA">
        <w:rPr>
          <w:rFonts w:ascii="Garamond" w:eastAsia="Garamond" w:hAnsi="Garamond" w:cs="Garamond"/>
          <w:sz w:val="22"/>
          <w:szCs w:val="22"/>
        </w:rPr>
        <w:t xml:space="preserve">Forster, Nancy, ‘Cuba’s Agrarian Productivity’ in I. L. Horowitz, ed., </w:t>
      </w:r>
      <w:r w:rsidRPr="005611DA">
        <w:rPr>
          <w:rFonts w:ascii="Garamond" w:eastAsia="Garamond" w:hAnsi="Garamond" w:cs="Garamond"/>
          <w:i/>
          <w:iCs/>
          <w:sz w:val="22"/>
          <w:szCs w:val="22"/>
        </w:rPr>
        <w:t>Cuban Communism</w:t>
      </w:r>
      <w:r w:rsidRPr="005611DA">
        <w:rPr>
          <w:rFonts w:ascii="Garamond" w:eastAsia="Garamond" w:hAnsi="Garamond" w:cs="Garamond"/>
          <w:sz w:val="22"/>
          <w:szCs w:val="22"/>
        </w:rPr>
        <w:t>, 8</w:t>
      </w:r>
      <w:r w:rsidRPr="005611DA">
        <w:rPr>
          <w:rFonts w:ascii="Garamond" w:eastAsia="Garamond" w:hAnsi="Garamond" w:cs="Garamond"/>
          <w:sz w:val="22"/>
          <w:szCs w:val="22"/>
          <w:vertAlign w:val="superscript"/>
        </w:rPr>
        <w:t>th</w:t>
      </w:r>
      <w:r w:rsidRPr="005611DA">
        <w:rPr>
          <w:rFonts w:ascii="Garamond" w:eastAsia="Garamond" w:hAnsi="Garamond" w:cs="Garamond"/>
          <w:sz w:val="22"/>
          <w:szCs w:val="22"/>
        </w:rPr>
        <w:t xml:space="preserve"> Edition, Transaction Publishers (1995)</w:t>
      </w:r>
    </w:p>
    <w:p w14:paraId="2FDE45E9" w14:textId="77777777" w:rsidR="000A68F6" w:rsidRPr="005611DA" w:rsidRDefault="000A68F6" w:rsidP="00CC3F95">
      <w:pPr>
        <w:pStyle w:val="FootnoteText"/>
        <w:rPr>
          <w:rFonts w:ascii="Garamond" w:hAnsi="Garamond"/>
          <w:sz w:val="22"/>
          <w:szCs w:val="22"/>
        </w:rPr>
      </w:pPr>
    </w:p>
    <w:p w14:paraId="7D2CB629"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LeoGrande, William M., and Julie M. Thomas, ‘Cuba’s Quest for Economic Independence’. </w:t>
      </w:r>
      <w:r w:rsidRPr="005611DA">
        <w:rPr>
          <w:rFonts w:ascii="Garamond" w:eastAsia="Garamond" w:hAnsi="Garamond" w:cs="Garamond"/>
          <w:i/>
          <w:iCs/>
          <w:sz w:val="22"/>
          <w:szCs w:val="22"/>
        </w:rPr>
        <w:t>Journal of Latin American Studies</w:t>
      </w:r>
      <w:r w:rsidRPr="005611DA">
        <w:rPr>
          <w:rFonts w:ascii="Garamond" w:eastAsia="Garamond" w:hAnsi="Garamond" w:cs="Garamond"/>
          <w:sz w:val="22"/>
          <w:szCs w:val="22"/>
        </w:rPr>
        <w:t xml:space="preserve"> 34.2 (2002). </w:t>
      </w:r>
    </w:p>
    <w:p w14:paraId="37553DC7" w14:textId="77777777" w:rsidR="000A68F6" w:rsidRPr="005611DA" w:rsidRDefault="000A68F6" w:rsidP="00CC3F95">
      <w:pPr>
        <w:pStyle w:val="FootnoteText"/>
        <w:rPr>
          <w:rStyle w:val="Hyperlink"/>
          <w:rFonts w:ascii="Garamond" w:eastAsia="Garamond" w:hAnsi="Garamond" w:cs="Garamond"/>
          <w:sz w:val="22"/>
          <w:szCs w:val="22"/>
        </w:rPr>
      </w:pPr>
      <w:r w:rsidRPr="005611DA">
        <w:rPr>
          <w:rFonts w:ascii="Garamond" w:eastAsia="Garamond" w:hAnsi="Garamond" w:cs="Garamond"/>
          <w:sz w:val="22"/>
          <w:szCs w:val="22"/>
        </w:rPr>
        <w:t xml:space="preserve">Available at: </w:t>
      </w:r>
      <w:hyperlink r:id="rId9">
        <w:r w:rsidRPr="005611DA">
          <w:rPr>
            <w:rStyle w:val="Hyperlink"/>
            <w:rFonts w:ascii="Garamond" w:eastAsia="Garamond" w:hAnsi="Garamond" w:cs="Garamond"/>
            <w:sz w:val="22"/>
            <w:szCs w:val="22"/>
          </w:rPr>
          <w:t>https://www.researchgate.net/profile/William_Leogrande/publication/231965406_Cuba's_Quest_for_Economic_Independence/links/56bb42c308ae0908186805d1.pdf</w:t>
        </w:r>
      </w:hyperlink>
    </w:p>
    <w:p w14:paraId="5C2FD0EF" w14:textId="77777777" w:rsidR="000A68F6" w:rsidRPr="005611DA" w:rsidRDefault="000A68F6" w:rsidP="00CC3F95">
      <w:pPr>
        <w:pStyle w:val="FootnoteText"/>
        <w:rPr>
          <w:rFonts w:ascii="Garamond" w:hAnsi="Garamond"/>
          <w:sz w:val="22"/>
          <w:szCs w:val="22"/>
        </w:rPr>
      </w:pPr>
    </w:p>
    <w:p w14:paraId="316F5244"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Mesa-Lago, Carmelo, ‘Economic and Ideological Cycles in Cuba: Policy and Performance, 1959 – 2002’ in A. R. M. Ritter, ed., </w:t>
      </w:r>
      <w:r w:rsidRPr="005611DA">
        <w:rPr>
          <w:rFonts w:ascii="Garamond" w:eastAsia="Garamond" w:hAnsi="Garamond" w:cs="Garamond"/>
          <w:i/>
          <w:iCs/>
          <w:sz w:val="22"/>
          <w:szCs w:val="22"/>
        </w:rPr>
        <w:t>The Cuban Economy</w:t>
      </w:r>
      <w:r w:rsidRPr="005611DA">
        <w:rPr>
          <w:rFonts w:ascii="Garamond" w:eastAsia="Garamond" w:hAnsi="Garamond" w:cs="Garamond"/>
          <w:sz w:val="22"/>
          <w:szCs w:val="22"/>
        </w:rPr>
        <w:t>, University of Pittsburgh Press (2004)</w:t>
      </w:r>
    </w:p>
    <w:p w14:paraId="16B3D4B2" w14:textId="77777777" w:rsidR="000A68F6" w:rsidRPr="005611DA" w:rsidRDefault="000A68F6" w:rsidP="00CC3F95">
      <w:pPr>
        <w:pStyle w:val="FootnoteText"/>
        <w:rPr>
          <w:rFonts w:ascii="Garamond" w:hAnsi="Garamond"/>
          <w:sz w:val="22"/>
          <w:szCs w:val="22"/>
        </w:rPr>
      </w:pPr>
    </w:p>
    <w:p w14:paraId="0BF369EA"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Pollitt, Brian H., ‘Crisis and Reform in Cuba’s Sugar Economy’ in A. R. M. Ritter, ed., </w:t>
      </w:r>
      <w:r w:rsidRPr="005611DA">
        <w:rPr>
          <w:rFonts w:ascii="Garamond" w:eastAsia="Garamond" w:hAnsi="Garamond" w:cs="Garamond"/>
          <w:i/>
          <w:iCs/>
          <w:sz w:val="22"/>
          <w:szCs w:val="22"/>
        </w:rPr>
        <w:t>The Cuban Economy</w:t>
      </w:r>
      <w:r w:rsidRPr="005611DA">
        <w:rPr>
          <w:rFonts w:ascii="Garamond" w:eastAsia="Garamond" w:hAnsi="Garamond" w:cs="Garamond"/>
          <w:sz w:val="22"/>
          <w:szCs w:val="22"/>
        </w:rPr>
        <w:t>, University of Pittsburgh Press (2004)</w:t>
      </w:r>
    </w:p>
    <w:p w14:paraId="1432E0CB" w14:textId="77777777" w:rsidR="005E7443" w:rsidRDefault="005E7443" w:rsidP="00CC3F95">
      <w:pPr>
        <w:rPr>
          <w:rFonts w:ascii="Garamond" w:hAnsi="Garamond"/>
        </w:rPr>
      </w:pPr>
    </w:p>
    <w:p w14:paraId="7EE69AB8" w14:textId="77777777" w:rsidR="005E7443" w:rsidRDefault="005E7443" w:rsidP="00CC3F95">
      <w:pPr>
        <w:rPr>
          <w:rFonts w:ascii="Garamond" w:hAnsi="Garamond"/>
        </w:rPr>
      </w:pPr>
    </w:p>
    <w:p w14:paraId="6FCA6FEA" w14:textId="77777777" w:rsidR="000A68F6" w:rsidRPr="005611DA" w:rsidRDefault="000A68F6" w:rsidP="00CC3F95">
      <w:pPr>
        <w:rPr>
          <w:rFonts w:ascii="Garamond" w:eastAsia="Garamond" w:hAnsi="Garamond" w:cs="Garamond"/>
          <w:sz w:val="24"/>
          <w:szCs w:val="24"/>
          <w:u w:val="single"/>
        </w:rPr>
      </w:pPr>
      <w:r w:rsidRPr="005611DA">
        <w:rPr>
          <w:rFonts w:ascii="Garamond" w:eastAsia="Garamond" w:hAnsi="Garamond" w:cs="Garamond"/>
          <w:sz w:val="24"/>
          <w:szCs w:val="24"/>
          <w:u w:val="single"/>
        </w:rPr>
        <w:t>Books</w:t>
      </w:r>
    </w:p>
    <w:p w14:paraId="44345393" w14:textId="77777777" w:rsidR="000A68F6" w:rsidRPr="005611DA" w:rsidRDefault="000A68F6" w:rsidP="00CC3F95">
      <w:pPr>
        <w:rPr>
          <w:rFonts w:ascii="Garamond" w:hAnsi="Garamond"/>
          <w:sz w:val="24"/>
          <w:szCs w:val="24"/>
          <w:u w:val="single"/>
        </w:rPr>
      </w:pPr>
    </w:p>
    <w:p w14:paraId="26771A14" w14:textId="77777777" w:rsidR="000A68F6" w:rsidRPr="005611DA" w:rsidRDefault="000A68F6" w:rsidP="00CC3F95">
      <w:pPr>
        <w:rPr>
          <w:rFonts w:ascii="Garamond" w:eastAsia="Garamond" w:hAnsi="Garamond" w:cs="Garamond"/>
        </w:rPr>
      </w:pPr>
      <w:r w:rsidRPr="005611DA">
        <w:rPr>
          <w:rFonts w:ascii="Garamond" w:eastAsia="Garamond" w:hAnsi="Garamond" w:cs="Garamond"/>
        </w:rPr>
        <w:t xml:space="preserve">Cirules, Enrique, and Douglas E. LaPrade, </w:t>
      </w:r>
      <w:r w:rsidRPr="005611DA">
        <w:rPr>
          <w:rFonts w:ascii="Garamond" w:eastAsia="Garamond" w:hAnsi="Garamond" w:cs="Garamond"/>
          <w:i/>
          <w:iCs/>
        </w:rPr>
        <w:t>The Mafia in Havana</w:t>
      </w:r>
      <w:r w:rsidRPr="005611DA">
        <w:rPr>
          <w:rFonts w:ascii="Garamond" w:eastAsia="Garamond" w:hAnsi="Garamond" w:cs="Garamond"/>
        </w:rPr>
        <w:t>, Ocean Press (2010)</w:t>
      </w:r>
    </w:p>
    <w:p w14:paraId="4230256A" w14:textId="77777777" w:rsidR="000A68F6" w:rsidRPr="005611DA" w:rsidRDefault="000A68F6" w:rsidP="00CC3F95">
      <w:pPr>
        <w:rPr>
          <w:rFonts w:ascii="Garamond" w:hAnsi="Garamond"/>
        </w:rPr>
      </w:pPr>
    </w:p>
    <w:p w14:paraId="4C183D88" w14:textId="77777777" w:rsidR="000A68F6" w:rsidRPr="005611DA" w:rsidRDefault="000A68F6" w:rsidP="00CC3F95">
      <w:pPr>
        <w:rPr>
          <w:rFonts w:ascii="Garamond" w:eastAsia="Garamond" w:hAnsi="Garamond" w:cs="Garamond"/>
        </w:rPr>
      </w:pPr>
      <w:r w:rsidRPr="005611DA">
        <w:rPr>
          <w:rFonts w:ascii="Garamond" w:eastAsia="Garamond" w:hAnsi="Garamond" w:cs="Garamond"/>
        </w:rPr>
        <w:t xml:space="preserve">Chomsky, Aviva, et al., eds., </w:t>
      </w:r>
      <w:r w:rsidRPr="005611DA">
        <w:rPr>
          <w:rFonts w:ascii="Garamond" w:eastAsia="Garamond" w:hAnsi="Garamond" w:cs="Garamond"/>
          <w:i/>
          <w:iCs/>
        </w:rPr>
        <w:t>The Cuba Reader: History, Culture, Politics</w:t>
      </w:r>
      <w:r w:rsidRPr="005611DA">
        <w:rPr>
          <w:rFonts w:ascii="Garamond" w:eastAsia="Garamond" w:hAnsi="Garamond" w:cs="Garamond"/>
        </w:rPr>
        <w:t>, Duke University Press (2004)</w:t>
      </w:r>
    </w:p>
    <w:p w14:paraId="58FD6511" w14:textId="77777777" w:rsidR="000A68F6" w:rsidRPr="005611DA" w:rsidRDefault="000A68F6" w:rsidP="00CC3F95">
      <w:pPr>
        <w:rPr>
          <w:rFonts w:ascii="Garamond" w:hAnsi="Garamond"/>
        </w:rPr>
      </w:pPr>
    </w:p>
    <w:p w14:paraId="0C1B3524" w14:textId="77777777" w:rsidR="000A68F6" w:rsidRPr="005611DA" w:rsidRDefault="000A68F6" w:rsidP="00CC3F95">
      <w:pPr>
        <w:rPr>
          <w:rFonts w:ascii="Garamond" w:eastAsia="Garamond" w:hAnsi="Garamond" w:cs="Garamond"/>
        </w:rPr>
      </w:pPr>
      <w:r w:rsidRPr="005611DA">
        <w:rPr>
          <w:rFonts w:ascii="Garamond" w:eastAsia="Garamond" w:hAnsi="Garamond" w:cs="Garamond"/>
        </w:rPr>
        <w:t xml:space="preserve">Chomsky, Noam, </w:t>
      </w:r>
      <w:r w:rsidRPr="005611DA">
        <w:rPr>
          <w:rFonts w:ascii="Garamond" w:eastAsia="Garamond" w:hAnsi="Garamond" w:cs="Garamond"/>
          <w:i/>
          <w:iCs/>
        </w:rPr>
        <w:t>Who Rules the World?</w:t>
      </w:r>
      <w:r w:rsidRPr="005611DA">
        <w:rPr>
          <w:rFonts w:ascii="Garamond" w:eastAsia="Garamond" w:hAnsi="Garamond" w:cs="Garamond"/>
        </w:rPr>
        <w:t>, Penguin Books (2017)</w:t>
      </w:r>
    </w:p>
    <w:p w14:paraId="0AD25224" w14:textId="77777777" w:rsidR="000A68F6" w:rsidRPr="005611DA" w:rsidRDefault="000A68F6" w:rsidP="00CC3F95">
      <w:pPr>
        <w:rPr>
          <w:rFonts w:ascii="Garamond" w:hAnsi="Garamond"/>
        </w:rPr>
      </w:pPr>
    </w:p>
    <w:p w14:paraId="41A5DB10" w14:textId="77777777" w:rsidR="000A68F6" w:rsidRPr="005611DA" w:rsidRDefault="000A68F6" w:rsidP="00CC3F95">
      <w:pPr>
        <w:rPr>
          <w:rFonts w:ascii="Garamond" w:eastAsia="Garamond" w:hAnsi="Garamond" w:cs="Garamond"/>
        </w:rPr>
      </w:pPr>
      <w:r w:rsidRPr="005611DA">
        <w:rPr>
          <w:rFonts w:ascii="Garamond" w:eastAsia="Garamond" w:hAnsi="Garamond" w:cs="Garamond"/>
        </w:rPr>
        <w:t xml:space="preserve">Domínguez, Jorge, </w:t>
      </w:r>
      <w:r w:rsidRPr="005611DA">
        <w:rPr>
          <w:rFonts w:ascii="Garamond" w:eastAsia="Garamond" w:hAnsi="Garamond" w:cs="Garamond"/>
          <w:i/>
          <w:iCs/>
        </w:rPr>
        <w:t>Cuba: Order and Revolution</w:t>
      </w:r>
      <w:r w:rsidRPr="005611DA">
        <w:rPr>
          <w:rFonts w:ascii="Garamond" w:eastAsia="Garamond" w:hAnsi="Garamond" w:cs="Garamond"/>
        </w:rPr>
        <w:t>, Harvard University Press (1989)</w:t>
      </w:r>
    </w:p>
    <w:p w14:paraId="12D1C032" w14:textId="77777777" w:rsidR="000A68F6" w:rsidRPr="005611DA" w:rsidRDefault="000A68F6" w:rsidP="00CC3F95">
      <w:pPr>
        <w:rPr>
          <w:rFonts w:ascii="Garamond" w:hAnsi="Garamond"/>
        </w:rPr>
      </w:pPr>
    </w:p>
    <w:p w14:paraId="13C6E74D" w14:textId="77777777" w:rsidR="000A68F6" w:rsidRPr="005611DA" w:rsidRDefault="000A68F6" w:rsidP="00CC3F95">
      <w:pPr>
        <w:rPr>
          <w:rFonts w:ascii="Garamond" w:eastAsia="Garamond" w:hAnsi="Garamond" w:cs="Garamond"/>
        </w:rPr>
      </w:pPr>
      <w:r w:rsidRPr="005611DA">
        <w:rPr>
          <w:rFonts w:ascii="Garamond" w:eastAsia="Garamond" w:hAnsi="Garamond" w:cs="Garamond"/>
        </w:rPr>
        <w:t xml:space="preserve">Harnecker, Camilla Piñeiro, </w:t>
      </w:r>
      <w:r w:rsidRPr="005611DA">
        <w:rPr>
          <w:rFonts w:ascii="Garamond" w:eastAsia="Garamond" w:hAnsi="Garamond" w:cs="Garamond"/>
          <w:i/>
          <w:iCs/>
        </w:rPr>
        <w:t>Cooperatives and Socialism: a View from Cuba</w:t>
      </w:r>
      <w:r w:rsidRPr="005611DA">
        <w:rPr>
          <w:rFonts w:ascii="Garamond" w:eastAsia="Garamond" w:hAnsi="Garamond" w:cs="Garamond"/>
        </w:rPr>
        <w:t>, Palgrave Macmillan (2013)</w:t>
      </w:r>
    </w:p>
    <w:p w14:paraId="50A44419" w14:textId="77777777" w:rsidR="000A68F6" w:rsidRPr="005611DA" w:rsidRDefault="000A68F6" w:rsidP="00CC3F95">
      <w:pPr>
        <w:rPr>
          <w:rFonts w:ascii="Garamond" w:hAnsi="Garamond"/>
        </w:rPr>
      </w:pPr>
    </w:p>
    <w:p w14:paraId="48D545BA" w14:textId="77777777" w:rsidR="000A68F6" w:rsidRPr="005611DA" w:rsidRDefault="000A68F6" w:rsidP="00CC3F95">
      <w:pPr>
        <w:rPr>
          <w:rFonts w:ascii="Garamond" w:eastAsia="Garamond" w:hAnsi="Garamond" w:cs="Garamond"/>
        </w:rPr>
      </w:pPr>
      <w:r w:rsidRPr="005611DA">
        <w:rPr>
          <w:rFonts w:ascii="Garamond" w:eastAsia="Garamond" w:hAnsi="Garamond" w:cs="Garamond"/>
        </w:rPr>
        <w:t xml:space="preserve">Horowitz, Irving Louis, ed., </w:t>
      </w:r>
      <w:r w:rsidRPr="005611DA">
        <w:rPr>
          <w:rFonts w:ascii="Garamond" w:eastAsia="Garamond" w:hAnsi="Garamond" w:cs="Garamond"/>
          <w:i/>
          <w:iCs/>
        </w:rPr>
        <w:t>Cuban Communism</w:t>
      </w:r>
      <w:r w:rsidRPr="005611DA">
        <w:rPr>
          <w:rFonts w:ascii="Garamond" w:eastAsia="Garamond" w:hAnsi="Garamond" w:cs="Garamond"/>
        </w:rPr>
        <w:t>, 8</w:t>
      </w:r>
      <w:r w:rsidRPr="005611DA">
        <w:rPr>
          <w:rFonts w:ascii="Garamond" w:eastAsia="Garamond" w:hAnsi="Garamond" w:cs="Garamond"/>
          <w:vertAlign w:val="superscript"/>
        </w:rPr>
        <w:t>th</w:t>
      </w:r>
      <w:r w:rsidRPr="005611DA">
        <w:rPr>
          <w:rFonts w:ascii="Garamond" w:eastAsia="Garamond" w:hAnsi="Garamond" w:cs="Garamond"/>
        </w:rPr>
        <w:t xml:space="preserve"> Edition, Transition Publisher (1995)</w:t>
      </w:r>
    </w:p>
    <w:p w14:paraId="38E0D7D2" w14:textId="77777777" w:rsidR="000A68F6" w:rsidRPr="005611DA" w:rsidRDefault="000A68F6" w:rsidP="00CC3F95">
      <w:pPr>
        <w:rPr>
          <w:rFonts w:ascii="Garamond" w:hAnsi="Garamond"/>
        </w:rPr>
      </w:pPr>
    </w:p>
    <w:p w14:paraId="24C478AB" w14:textId="77777777" w:rsidR="000A68F6" w:rsidRPr="005611DA" w:rsidRDefault="000A68F6" w:rsidP="00CC3F95">
      <w:pPr>
        <w:rPr>
          <w:rFonts w:ascii="Garamond" w:eastAsia="Garamond" w:hAnsi="Garamond" w:cs="Garamond"/>
        </w:rPr>
      </w:pPr>
      <w:r w:rsidRPr="005611DA">
        <w:rPr>
          <w:rFonts w:ascii="Garamond" w:eastAsia="Garamond" w:hAnsi="Garamond" w:cs="Garamond"/>
        </w:rPr>
        <w:t xml:space="preserve">Kurlansky, Mark, </w:t>
      </w:r>
      <w:r w:rsidRPr="005611DA">
        <w:rPr>
          <w:rFonts w:ascii="Garamond" w:eastAsia="Garamond" w:hAnsi="Garamond" w:cs="Garamond"/>
          <w:i/>
          <w:iCs/>
        </w:rPr>
        <w:t>Havana: A Subtropical Delirium</w:t>
      </w:r>
      <w:r w:rsidRPr="005611DA">
        <w:rPr>
          <w:rFonts w:ascii="Garamond" w:eastAsia="Garamond" w:hAnsi="Garamond" w:cs="Garamond"/>
        </w:rPr>
        <w:t>, Bloomsbury Publishing (2018)</w:t>
      </w:r>
    </w:p>
    <w:p w14:paraId="205608BF" w14:textId="77777777" w:rsidR="000A68F6" w:rsidRPr="005611DA" w:rsidRDefault="000A68F6" w:rsidP="00CC3F95">
      <w:pPr>
        <w:rPr>
          <w:rFonts w:ascii="Garamond" w:hAnsi="Garamond"/>
        </w:rPr>
      </w:pPr>
    </w:p>
    <w:p w14:paraId="1F9A4BF3" w14:textId="77777777" w:rsidR="000A68F6" w:rsidRPr="005611DA" w:rsidRDefault="000A68F6" w:rsidP="00CC3F95">
      <w:pPr>
        <w:rPr>
          <w:rFonts w:ascii="Garamond" w:eastAsia="Garamond" w:hAnsi="Garamond" w:cs="Garamond"/>
        </w:rPr>
      </w:pPr>
      <w:r w:rsidRPr="005611DA">
        <w:rPr>
          <w:rFonts w:ascii="Garamond" w:eastAsia="Garamond" w:hAnsi="Garamond" w:cs="Garamond"/>
        </w:rPr>
        <w:t xml:space="preserve">Lists, Sheldon, </w:t>
      </w:r>
      <w:r w:rsidRPr="005611DA">
        <w:rPr>
          <w:rFonts w:ascii="Garamond" w:eastAsia="Garamond" w:hAnsi="Garamond" w:cs="Garamond"/>
          <w:i/>
          <w:iCs/>
        </w:rPr>
        <w:t>Roots of Revolution: Radical Thought in Cuba</w:t>
      </w:r>
      <w:r w:rsidRPr="005611DA">
        <w:rPr>
          <w:rFonts w:ascii="Garamond" w:eastAsia="Garamond" w:hAnsi="Garamond" w:cs="Garamond"/>
        </w:rPr>
        <w:t>, University of Nebraska Press (1987)</w:t>
      </w:r>
    </w:p>
    <w:p w14:paraId="7D606478" w14:textId="77777777" w:rsidR="000A68F6" w:rsidRPr="005611DA" w:rsidRDefault="000A68F6" w:rsidP="00CC3F95">
      <w:pPr>
        <w:rPr>
          <w:rFonts w:ascii="Garamond" w:hAnsi="Garamond"/>
        </w:rPr>
      </w:pPr>
    </w:p>
    <w:p w14:paraId="75FB3C76" w14:textId="77777777" w:rsidR="000A68F6" w:rsidRPr="005611DA" w:rsidRDefault="000A68F6" w:rsidP="00CC3F95">
      <w:pPr>
        <w:rPr>
          <w:rFonts w:ascii="Garamond" w:eastAsia="Garamond" w:hAnsi="Garamond" w:cs="Garamond"/>
        </w:rPr>
      </w:pPr>
      <w:r w:rsidRPr="005611DA">
        <w:rPr>
          <w:rFonts w:ascii="Garamond" w:eastAsia="Garamond" w:hAnsi="Garamond" w:cs="Garamond"/>
        </w:rPr>
        <w:t xml:space="preserve">Mesa-Lago, Carmelo, ed., </w:t>
      </w:r>
      <w:r w:rsidRPr="005611DA">
        <w:rPr>
          <w:rFonts w:ascii="Garamond" w:eastAsia="Garamond" w:hAnsi="Garamond" w:cs="Garamond"/>
          <w:i/>
          <w:iCs/>
        </w:rPr>
        <w:t>Revolutionary Change in Cuba</w:t>
      </w:r>
      <w:r w:rsidRPr="005611DA">
        <w:rPr>
          <w:rFonts w:ascii="Garamond" w:eastAsia="Garamond" w:hAnsi="Garamond" w:cs="Garamond"/>
        </w:rPr>
        <w:t>, University of Pittsburgh Press (1971)</w:t>
      </w:r>
    </w:p>
    <w:p w14:paraId="424B7839" w14:textId="77777777" w:rsidR="000A68F6" w:rsidRPr="005611DA" w:rsidRDefault="000A68F6" w:rsidP="00CC3F95">
      <w:pPr>
        <w:rPr>
          <w:rFonts w:ascii="Garamond" w:hAnsi="Garamond"/>
        </w:rPr>
      </w:pPr>
    </w:p>
    <w:p w14:paraId="644FF833"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Nelson, Lowry, </w:t>
      </w:r>
      <w:r w:rsidRPr="005611DA">
        <w:rPr>
          <w:rFonts w:ascii="Garamond" w:eastAsia="Garamond" w:hAnsi="Garamond" w:cs="Garamond"/>
          <w:i/>
          <w:iCs/>
          <w:sz w:val="22"/>
          <w:szCs w:val="22"/>
        </w:rPr>
        <w:t>Cuba: The Measure of a Revolution</w:t>
      </w:r>
      <w:r w:rsidRPr="005611DA">
        <w:rPr>
          <w:rFonts w:ascii="Garamond" w:eastAsia="Garamond" w:hAnsi="Garamond" w:cs="Garamond"/>
          <w:sz w:val="22"/>
          <w:szCs w:val="22"/>
        </w:rPr>
        <w:t>, University of Minnesota Press (1972)</w:t>
      </w:r>
    </w:p>
    <w:p w14:paraId="6AF1A008" w14:textId="77777777" w:rsidR="000A68F6" w:rsidRPr="005611DA" w:rsidRDefault="000A68F6" w:rsidP="00CC3F95">
      <w:pPr>
        <w:pStyle w:val="FootnoteText"/>
        <w:rPr>
          <w:rFonts w:ascii="Garamond" w:hAnsi="Garamond"/>
          <w:sz w:val="22"/>
          <w:szCs w:val="22"/>
        </w:rPr>
      </w:pPr>
    </w:p>
    <w:p w14:paraId="52953523" w14:textId="77777777" w:rsidR="000A68F6" w:rsidRPr="005611DA" w:rsidRDefault="000A68F6" w:rsidP="00CC3F95">
      <w:pPr>
        <w:pStyle w:val="Heading1"/>
        <w:spacing w:before="0"/>
        <w:rPr>
          <w:rStyle w:val="a-size-large"/>
          <w:rFonts w:ascii="Garamond" w:eastAsia="Garamond,Arial,Times New Roman" w:hAnsi="Garamond" w:cs="Garamond,Arial,Times New Roman"/>
          <w:color w:val="111111"/>
          <w:sz w:val="22"/>
          <w:szCs w:val="22"/>
        </w:rPr>
      </w:pPr>
      <w:r w:rsidRPr="005611DA">
        <w:rPr>
          <w:rFonts w:ascii="Garamond" w:eastAsia="Garamond" w:hAnsi="Garamond" w:cs="Garamond"/>
          <w:sz w:val="22"/>
          <w:szCs w:val="22"/>
        </w:rPr>
        <w:t xml:space="preserve">Paterson, Thomas and Dennis Merrill, </w:t>
      </w:r>
      <w:r w:rsidRPr="005611DA">
        <w:rPr>
          <w:rStyle w:val="a-size-large"/>
          <w:rFonts w:ascii="Garamond" w:eastAsia="Garamond" w:hAnsi="Garamond" w:cs="Garamond"/>
          <w:i/>
          <w:iCs/>
          <w:color w:val="111111"/>
          <w:sz w:val="22"/>
          <w:szCs w:val="22"/>
        </w:rPr>
        <w:t>Major Problems in American Foreign Relations, Volume II: Since 1914</w:t>
      </w:r>
      <w:r w:rsidRPr="005611DA">
        <w:rPr>
          <w:rStyle w:val="a-size-large"/>
          <w:rFonts w:ascii="Garamond" w:eastAsia="Garamond" w:hAnsi="Garamond" w:cs="Garamond"/>
          <w:color w:val="111111"/>
          <w:sz w:val="22"/>
          <w:szCs w:val="22"/>
        </w:rPr>
        <w:t>, Cengage Learning (2009)</w:t>
      </w:r>
    </w:p>
    <w:p w14:paraId="41245EA6" w14:textId="77777777" w:rsidR="000A68F6" w:rsidRPr="005611DA" w:rsidRDefault="000A68F6" w:rsidP="00CC3F95">
      <w:pPr>
        <w:rPr>
          <w:rFonts w:ascii="Garamond" w:hAnsi="Garamond"/>
        </w:rPr>
      </w:pPr>
    </w:p>
    <w:p w14:paraId="2B4FE577"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Pérez, Louis A., </w:t>
      </w:r>
      <w:r w:rsidRPr="005611DA">
        <w:rPr>
          <w:rFonts w:ascii="Garamond" w:eastAsia="Garamond" w:hAnsi="Garamond" w:cs="Garamond"/>
          <w:i/>
          <w:iCs/>
          <w:sz w:val="22"/>
          <w:szCs w:val="22"/>
        </w:rPr>
        <w:t>Cuba: Between Reform and Revolution</w:t>
      </w:r>
      <w:r w:rsidRPr="005611DA">
        <w:rPr>
          <w:rFonts w:ascii="Garamond" w:eastAsia="Garamond" w:hAnsi="Garamond" w:cs="Garamond"/>
          <w:sz w:val="22"/>
          <w:szCs w:val="22"/>
        </w:rPr>
        <w:t>, Oxford University Press (2014)</w:t>
      </w:r>
    </w:p>
    <w:p w14:paraId="3322D3EF" w14:textId="77777777" w:rsidR="000A68F6" w:rsidRPr="005611DA" w:rsidRDefault="000A68F6" w:rsidP="00CC3F95">
      <w:pPr>
        <w:pStyle w:val="FootnoteText"/>
        <w:rPr>
          <w:rFonts w:ascii="Garamond" w:hAnsi="Garamond"/>
          <w:sz w:val="22"/>
          <w:szCs w:val="22"/>
        </w:rPr>
      </w:pPr>
    </w:p>
    <w:p w14:paraId="5A293929"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Pérez-Stable, Marifeli, </w:t>
      </w:r>
      <w:r w:rsidRPr="005611DA">
        <w:rPr>
          <w:rFonts w:ascii="Garamond" w:eastAsia="Garamond" w:hAnsi="Garamond" w:cs="Garamond"/>
          <w:i/>
          <w:iCs/>
          <w:sz w:val="22"/>
          <w:szCs w:val="22"/>
        </w:rPr>
        <w:t>The Cuban Revolution: Origins, Course, and Legacy</w:t>
      </w:r>
      <w:r w:rsidRPr="005611DA">
        <w:rPr>
          <w:rFonts w:ascii="Garamond" w:eastAsia="Garamond" w:hAnsi="Garamond" w:cs="Garamond"/>
          <w:sz w:val="22"/>
          <w:szCs w:val="22"/>
        </w:rPr>
        <w:t>, Oxford University Press (1993)</w:t>
      </w:r>
    </w:p>
    <w:p w14:paraId="7A82C2B7" w14:textId="77777777" w:rsidR="000A68F6" w:rsidRPr="005611DA" w:rsidRDefault="000A68F6" w:rsidP="00CC3F95">
      <w:pPr>
        <w:pStyle w:val="FootnoteText"/>
        <w:rPr>
          <w:rFonts w:ascii="Garamond" w:hAnsi="Garamond"/>
          <w:sz w:val="22"/>
          <w:szCs w:val="22"/>
        </w:rPr>
      </w:pPr>
    </w:p>
    <w:p w14:paraId="0574EB1C"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Reagan, Nancy, </w:t>
      </w:r>
      <w:r w:rsidRPr="005611DA">
        <w:rPr>
          <w:rFonts w:ascii="Garamond" w:eastAsia="Garamond" w:hAnsi="Garamond" w:cs="Garamond"/>
          <w:i/>
          <w:iCs/>
          <w:sz w:val="22"/>
          <w:szCs w:val="22"/>
        </w:rPr>
        <w:t>My Turn: The Memoirs of Nancy Reagan</w:t>
      </w:r>
      <w:r w:rsidRPr="005611DA">
        <w:rPr>
          <w:rFonts w:ascii="Garamond" w:eastAsia="Garamond" w:hAnsi="Garamond" w:cs="Garamond"/>
          <w:sz w:val="22"/>
          <w:szCs w:val="22"/>
        </w:rPr>
        <w:t>, Random House (2011)</w:t>
      </w:r>
    </w:p>
    <w:p w14:paraId="716C31C3" w14:textId="77777777" w:rsidR="000A68F6" w:rsidRPr="005611DA" w:rsidRDefault="000A68F6" w:rsidP="00CC3F95">
      <w:pPr>
        <w:pStyle w:val="FootnoteText"/>
        <w:rPr>
          <w:rFonts w:ascii="Garamond" w:hAnsi="Garamond"/>
          <w:sz w:val="22"/>
          <w:szCs w:val="22"/>
        </w:rPr>
      </w:pPr>
    </w:p>
    <w:p w14:paraId="5EBE0691"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Ritter, Archibald R. M., </w:t>
      </w:r>
      <w:r w:rsidRPr="005611DA">
        <w:rPr>
          <w:rFonts w:ascii="Garamond" w:eastAsia="Garamond" w:hAnsi="Garamond" w:cs="Garamond"/>
          <w:i/>
          <w:iCs/>
          <w:sz w:val="22"/>
          <w:szCs w:val="22"/>
        </w:rPr>
        <w:t>The Economic Development of Revolutionary Cuba; Strategy and Performance</w:t>
      </w:r>
      <w:r w:rsidRPr="005611DA">
        <w:rPr>
          <w:rFonts w:ascii="Garamond" w:eastAsia="Garamond" w:hAnsi="Garamond" w:cs="Garamond"/>
          <w:sz w:val="22"/>
          <w:szCs w:val="22"/>
        </w:rPr>
        <w:t>, Praeger Publishers (1975)</w:t>
      </w:r>
    </w:p>
    <w:p w14:paraId="3B0EC4EA" w14:textId="77777777" w:rsidR="000A68F6" w:rsidRPr="005611DA" w:rsidRDefault="000A68F6" w:rsidP="00CC3F95">
      <w:pPr>
        <w:pStyle w:val="FootnoteText"/>
        <w:rPr>
          <w:rFonts w:ascii="Garamond" w:hAnsi="Garamond"/>
          <w:sz w:val="22"/>
          <w:szCs w:val="22"/>
        </w:rPr>
      </w:pPr>
      <w:r w:rsidRPr="005611DA">
        <w:rPr>
          <w:rFonts w:ascii="Garamond" w:hAnsi="Garamond"/>
          <w:sz w:val="22"/>
          <w:szCs w:val="22"/>
        </w:rPr>
        <w:t xml:space="preserve"> </w:t>
      </w:r>
    </w:p>
    <w:p w14:paraId="40A50F7D"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Ritter, Archibald R. M., ed., </w:t>
      </w:r>
      <w:r w:rsidRPr="005611DA">
        <w:rPr>
          <w:rFonts w:ascii="Garamond" w:eastAsia="Garamond" w:hAnsi="Garamond" w:cs="Garamond"/>
          <w:i/>
          <w:iCs/>
          <w:sz w:val="22"/>
          <w:szCs w:val="22"/>
        </w:rPr>
        <w:t>The Cuban Economy</w:t>
      </w:r>
      <w:r w:rsidRPr="005611DA">
        <w:rPr>
          <w:rFonts w:ascii="Garamond" w:eastAsia="Garamond" w:hAnsi="Garamond" w:cs="Garamond"/>
          <w:sz w:val="22"/>
          <w:szCs w:val="22"/>
        </w:rPr>
        <w:t>, University of Pittsburgh Press (2004)</w:t>
      </w:r>
    </w:p>
    <w:p w14:paraId="174FF705" w14:textId="77777777" w:rsidR="000A68F6" w:rsidRPr="005611DA" w:rsidRDefault="000A68F6" w:rsidP="00CC3F95">
      <w:pPr>
        <w:pStyle w:val="FootnoteText"/>
        <w:rPr>
          <w:rFonts w:ascii="Garamond" w:hAnsi="Garamond"/>
          <w:sz w:val="22"/>
          <w:szCs w:val="22"/>
        </w:rPr>
      </w:pPr>
    </w:p>
    <w:p w14:paraId="71C42EAA" w14:textId="77777777" w:rsidR="000A68F6" w:rsidRPr="005611DA" w:rsidRDefault="000A68F6" w:rsidP="00CC3F95">
      <w:pPr>
        <w:pStyle w:val="FootnoteText"/>
        <w:rPr>
          <w:rFonts w:ascii="Garamond" w:eastAsia="Garamond,Baskerville Old Face" w:hAnsi="Garamond" w:cs="Garamond,Baskerville Old Face"/>
          <w:sz w:val="22"/>
          <w:szCs w:val="22"/>
        </w:rPr>
      </w:pPr>
      <w:r w:rsidRPr="005611DA">
        <w:rPr>
          <w:rFonts w:ascii="Garamond" w:eastAsia="Garamond" w:hAnsi="Garamond" w:cs="Garamond"/>
          <w:sz w:val="22"/>
          <w:szCs w:val="22"/>
        </w:rPr>
        <w:t xml:space="preserve">Rodríguez, Carlos Rafael, </w:t>
      </w:r>
      <w:r w:rsidRPr="005611DA">
        <w:rPr>
          <w:rFonts w:ascii="Garamond" w:eastAsia="Garamond" w:hAnsi="Garamond" w:cs="Garamond"/>
          <w:i/>
          <w:iCs/>
          <w:sz w:val="22"/>
          <w:szCs w:val="22"/>
        </w:rPr>
        <w:t>Cuba en el transit al socialismo</w:t>
      </w:r>
      <w:r w:rsidRPr="005611DA">
        <w:rPr>
          <w:rFonts w:ascii="Garamond" w:eastAsia="Garamond" w:hAnsi="Garamond" w:cs="Garamond"/>
          <w:sz w:val="22"/>
          <w:szCs w:val="22"/>
        </w:rPr>
        <w:t>, Siglo Ventiuno Editores (1978)</w:t>
      </w:r>
    </w:p>
    <w:p w14:paraId="0E3F2446" w14:textId="77777777" w:rsidR="000A68F6" w:rsidRPr="005611DA" w:rsidRDefault="000A68F6" w:rsidP="00CC3F95">
      <w:pPr>
        <w:pStyle w:val="FootnoteText"/>
        <w:rPr>
          <w:rFonts w:ascii="Garamond" w:eastAsia="Baskerville Old Face" w:hAnsi="Garamond" w:cs="Baskerville Old Face"/>
          <w:sz w:val="22"/>
          <w:szCs w:val="22"/>
        </w:rPr>
      </w:pPr>
    </w:p>
    <w:p w14:paraId="275F564A" w14:textId="77777777" w:rsidR="000A68F6" w:rsidRPr="005611DA" w:rsidRDefault="000A68F6" w:rsidP="00CC3F95">
      <w:pPr>
        <w:pStyle w:val="FootnoteText"/>
        <w:rPr>
          <w:rFonts w:ascii="Garamond" w:eastAsia="Garamond,Baskerville Old Face" w:hAnsi="Garamond" w:cs="Garamond,Baskerville Old Face"/>
          <w:sz w:val="22"/>
          <w:szCs w:val="22"/>
        </w:rPr>
      </w:pPr>
      <w:r w:rsidRPr="005611DA">
        <w:rPr>
          <w:rFonts w:ascii="Garamond" w:eastAsia="Garamond" w:hAnsi="Garamond" w:cs="Garamond"/>
          <w:sz w:val="22"/>
          <w:szCs w:val="22"/>
        </w:rPr>
        <w:t xml:space="preserve">Seers, Dudley, ed., </w:t>
      </w:r>
      <w:r w:rsidRPr="005611DA">
        <w:rPr>
          <w:rFonts w:ascii="Garamond" w:eastAsia="Garamond" w:hAnsi="Garamond" w:cs="Garamond"/>
          <w:i/>
          <w:iCs/>
          <w:sz w:val="22"/>
          <w:szCs w:val="22"/>
        </w:rPr>
        <w:t>Cuba: The Economic and Social Revolution,</w:t>
      </w:r>
      <w:r w:rsidRPr="005611DA">
        <w:rPr>
          <w:rFonts w:ascii="Garamond" w:eastAsia="Garamond" w:hAnsi="Garamond" w:cs="Garamond"/>
          <w:sz w:val="22"/>
          <w:szCs w:val="22"/>
        </w:rPr>
        <w:t xml:space="preserve"> University of North Carolina Press (1964)</w:t>
      </w:r>
    </w:p>
    <w:p w14:paraId="0F7E2BF4" w14:textId="77777777" w:rsidR="000A68F6" w:rsidRPr="005611DA" w:rsidRDefault="000A68F6" w:rsidP="00CC3F95">
      <w:pPr>
        <w:pStyle w:val="FootnoteText"/>
        <w:rPr>
          <w:rFonts w:ascii="Garamond" w:eastAsia="Baskerville Old Face" w:hAnsi="Garamond" w:cs="Baskerville Old Face"/>
          <w:sz w:val="22"/>
          <w:szCs w:val="22"/>
        </w:rPr>
      </w:pPr>
    </w:p>
    <w:p w14:paraId="7668E5A9" w14:textId="77777777" w:rsidR="000A68F6" w:rsidRPr="005611DA" w:rsidRDefault="000A68F6" w:rsidP="00CC3F95">
      <w:pPr>
        <w:pStyle w:val="FootnoteText"/>
        <w:rPr>
          <w:rFonts w:ascii="Garamond" w:eastAsia="Garamond,Baskerville Old Face" w:hAnsi="Garamond" w:cs="Garamond,Baskerville Old Face"/>
          <w:sz w:val="22"/>
          <w:szCs w:val="22"/>
        </w:rPr>
      </w:pPr>
      <w:r w:rsidRPr="005611DA">
        <w:rPr>
          <w:rFonts w:ascii="Garamond" w:eastAsia="Garamond" w:hAnsi="Garamond" w:cs="Garamond"/>
          <w:sz w:val="22"/>
          <w:szCs w:val="22"/>
        </w:rPr>
        <w:t xml:space="preserve">Slee, Chris, </w:t>
      </w:r>
      <w:r w:rsidRPr="005611DA">
        <w:rPr>
          <w:rFonts w:ascii="Garamond" w:eastAsia="Garamond" w:hAnsi="Garamond" w:cs="Garamond"/>
          <w:i/>
          <w:iCs/>
          <w:sz w:val="22"/>
          <w:szCs w:val="22"/>
        </w:rPr>
        <w:t>Cuba: How the Workers and Peasants Made the Revolution</w:t>
      </w:r>
      <w:r w:rsidRPr="005611DA">
        <w:rPr>
          <w:rFonts w:ascii="Garamond" w:eastAsia="Garamond" w:hAnsi="Garamond" w:cs="Garamond"/>
          <w:sz w:val="22"/>
          <w:szCs w:val="22"/>
        </w:rPr>
        <w:t>, Resistance Books (2008)</w:t>
      </w:r>
    </w:p>
    <w:p w14:paraId="313F832D"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Available at: </w:t>
      </w:r>
      <w:hyperlink r:id="rId10">
        <w:r w:rsidRPr="005611DA">
          <w:rPr>
            <w:rStyle w:val="Hyperlink"/>
            <w:rFonts w:ascii="Garamond" w:eastAsia="Garamond" w:hAnsi="Garamond" w:cs="Garamond"/>
            <w:sz w:val="22"/>
            <w:szCs w:val="22"/>
          </w:rPr>
          <w:t>https://readingfromtheleft.com/PDF/CubaSlee2.pdf</w:t>
        </w:r>
      </w:hyperlink>
      <w:r w:rsidRPr="005611DA">
        <w:rPr>
          <w:rFonts w:ascii="Garamond" w:eastAsia="Garamond,Baskerville Old Face" w:hAnsi="Garamond" w:cs="Garamond,Baskerville Old Face"/>
          <w:sz w:val="22"/>
          <w:szCs w:val="22"/>
        </w:rPr>
        <w:t xml:space="preserve"> </w:t>
      </w:r>
    </w:p>
    <w:p w14:paraId="6C9815B5" w14:textId="77777777" w:rsidR="000A68F6" w:rsidRPr="005611DA" w:rsidRDefault="000A68F6" w:rsidP="00CC3F95">
      <w:pPr>
        <w:pStyle w:val="FootnoteText"/>
        <w:rPr>
          <w:rFonts w:ascii="Garamond" w:eastAsia="Baskerville Old Face" w:hAnsi="Garamond" w:cs="Baskerville Old Face"/>
          <w:sz w:val="22"/>
          <w:szCs w:val="22"/>
        </w:rPr>
      </w:pPr>
    </w:p>
    <w:p w14:paraId="2185C215"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Thomas, Hugh, </w:t>
      </w:r>
      <w:r w:rsidRPr="005611DA">
        <w:rPr>
          <w:rFonts w:ascii="Garamond" w:eastAsia="Garamond" w:hAnsi="Garamond" w:cs="Garamond"/>
          <w:i/>
          <w:iCs/>
          <w:sz w:val="22"/>
          <w:szCs w:val="22"/>
        </w:rPr>
        <w:t>Cuba: A History</w:t>
      </w:r>
      <w:r w:rsidRPr="005611DA">
        <w:rPr>
          <w:rFonts w:ascii="Garamond" w:eastAsia="Garamond" w:hAnsi="Garamond" w:cs="Garamond"/>
          <w:sz w:val="22"/>
          <w:szCs w:val="22"/>
        </w:rPr>
        <w:t>, Penguin Books (2010)</w:t>
      </w:r>
    </w:p>
    <w:p w14:paraId="237366E3" w14:textId="77777777" w:rsidR="005E7443" w:rsidRDefault="005E7443" w:rsidP="00CC3F95">
      <w:pPr>
        <w:pStyle w:val="FootnoteText"/>
        <w:rPr>
          <w:rFonts w:ascii="Garamond" w:hAnsi="Garamond"/>
          <w:sz w:val="22"/>
          <w:szCs w:val="22"/>
        </w:rPr>
      </w:pPr>
    </w:p>
    <w:p w14:paraId="1D3EE257" w14:textId="77777777" w:rsidR="005E7443" w:rsidRDefault="005E7443" w:rsidP="00CC3F95">
      <w:pPr>
        <w:pStyle w:val="FootnoteText"/>
        <w:rPr>
          <w:rFonts w:ascii="Garamond" w:hAnsi="Garamond"/>
          <w:sz w:val="22"/>
          <w:szCs w:val="22"/>
        </w:rPr>
      </w:pPr>
    </w:p>
    <w:p w14:paraId="107DEF36" w14:textId="77777777" w:rsidR="000A68F6" w:rsidRPr="005611DA" w:rsidRDefault="000A68F6" w:rsidP="00CC3F95">
      <w:pPr>
        <w:pStyle w:val="FootnoteText"/>
        <w:rPr>
          <w:rFonts w:ascii="Garamond" w:eastAsia="Garamond" w:hAnsi="Garamond" w:cs="Garamond"/>
          <w:sz w:val="24"/>
          <w:szCs w:val="24"/>
        </w:rPr>
      </w:pPr>
      <w:r w:rsidRPr="005611DA">
        <w:rPr>
          <w:rFonts w:ascii="Garamond" w:eastAsia="Garamond" w:hAnsi="Garamond" w:cs="Garamond"/>
          <w:sz w:val="24"/>
          <w:szCs w:val="24"/>
          <w:u w:val="single"/>
        </w:rPr>
        <w:t>Theses</w:t>
      </w:r>
    </w:p>
    <w:p w14:paraId="4A4EA8A8" w14:textId="77777777" w:rsidR="000A68F6" w:rsidRPr="005611DA" w:rsidRDefault="000A68F6" w:rsidP="00CC3F95">
      <w:pPr>
        <w:pStyle w:val="FootnoteText"/>
        <w:rPr>
          <w:rFonts w:ascii="Garamond" w:hAnsi="Garamond"/>
          <w:sz w:val="24"/>
          <w:szCs w:val="24"/>
        </w:rPr>
      </w:pPr>
    </w:p>
    <w:p w14:paraId="46A91E28"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Cameron, Marcel, </w:t>
      </w:r>
      <w:r w:rsidRPr="005611DA">
        <w:rPr>
          <w:rFonts w:ascii="Garamond" w:eastAsia="Garamond" w:hAnsi="Garamond" w:cs="Garamond"/>
          <w:i/>
          <w:iCs/>
          <w:sz w:val="22"/>
          <w:szCs w:val="22"/>
        </w:rPr>
        <w:t>Statist Utopianism and the Cuban Socialist Transition</w:t>
      </w:r>
      <w:r w:rsidRPr="005611DA">
        <w:rPr>
          <w:rFonts w:ascii="Garamond" w:eastAsia="Garamond" w:hAnsi="Garamond" w:cs="Garamond"/>
          <w:sz w:val="22"/>
          <w:szCs w:val="22"/>
        </w:rPr>
        <w:t>, University of Sydney (2014)</w:t>
      </w:r>
    </w:p>
    <w:p w14:paraId="60F6B84D"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Available at: </w:t>
      </w:r>
      <w:hyperlink r:id="rId11">
        <w:r w:rsidRPr="005611DA">
          <w:rPr>
            <w:rStyle w:val="Hyperlink"/>
            <w:rFonts w:ascii="Garamond" w:eastAsia="Garamond" w:hAnsi="Garamond" w:cs="Garamond"/>
            <w:sz w:val="22"/>
            <w:szCs w:val="22"/>
          </w:rPr>
          <w:t>https://ses.library.usyd.edu.au/bitstream/2123/12538/5/cameron_ma_thesis.pdf</w:t>
        </w:r>
      </w:hyperlink>
    </w:p>
    <w:p w14:paraId="74093EA8" w14:textId="77777777" w:rsidR="000A68F6" w:rsidRPr="005611DA" w:rsidRDefault="000A68F6" w:rsidP="00CC3F95">
      <w:pPr>
        <w:pStyle w:val="FootnoteText"/>
        <w:rPr>
          <w:rFonts w:ascii="Garamond" w:hAnsi="Garamond"/>
          <w:sz w:val="22"/>
          <w:szCs w:val="22"/>
        </w:rPr>
      </w:pPr>
    </w:p>
    <w:p w14:paraId="21B5A752"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lastRenderedPageBreak/>
        <w:t xml:space="preserve">Plazas, Luis, </w:t>
      </w:r>
      <w:r w:rsidRPr="005611DA">
        <w:rPr>
          <w:rFonts w:ascii="Garamond" w:eastAsia="Garamond" w:hAnsi="Garamond" w:cs="Garamond"/>
          <w:i/>
          <w:iCs/>
          <w:sz w:val="22"/>
          <w:szCs w:val="22"/>
        </w:rPr>
        <w:t>Revolutionary Manifestos and Fidel Castro’s Road to Power</w:t>
      </w:r>
      <w:r w:rsidRPr="005611DA">
        <w:rPr>
          <w:rFonts w:ascii="Garamond" w:eastAsia="Garamond" w:hAnsi="Garamond" w:cs="Garamond"/>
          <w:sz w:val="22"/>
          <w:szCs w:val="22"/>
        </w:rPr>
        <w:t>, University of Central Florida (2014)</w:t>
      </w:r>
    </w:p>
    <w:p w14:paraId="50E0CB08"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Available at: </w:t>
      </w:r>
      <w:hyperlink r:id="rId12">
        <w:r w:rsidRPr="005611DA">
          <w:rPr>
            <w:rStyle w:val="Hyperlink"/>
            <w:rFonts w:ascii="Garamond" w:eastAsia="Garamond" w:hAnsi="Garamond" w:cs="Garamond"/>
            <w:sz w:val="22"/>
            <w:szCs w:val="22"/>
          </w:rPr>
          <w:t>http://etd.fcla.edu/CF/CFE0005538/Formated_Thesis1.pdf</w:t>
        </w:r>
      </w:hyperlink>
      <w:r w:rsidRPr="005611DA">
        <w:rPr>
          <w:rFonts w:ascii="Garamond" w:eastAsia="Garamond" w:hAnsi="Garamond" w:cs="Garamond"/>
          <w:sz w:val="22"/>
          <w:szCs w:val="22"/>
        </w:rPr>
        <w:t xml:space="preserve"> </w:t>
      </w:r>
    </w:p>
    <w:p w14:paraId="5AD9CE5E" w14:textId="77777777" w:rsidR="000A68F6" w:rsidRPr="005611DA" w:rsidRDefault="000A68F6" w:rsidP="00CC3F95">
      <w:pPr>
        <w:pStyle w:val="FootnoteText"/>
        <w:rPr>
          <w:rFonts w:ascii="Garamond" w:hAnsi="Garamond"/>
          <w:sz w:val="22"/>
          <w:szCs w:val="22"/>
        </w:rPr>
      </w:pPr>
    </w:p>
    <w:p w14:paraId="70CECB88" w14:textId="77777777" w:rsidR="000A68F6" w:rsidRPr="005611DA" w:rsidRDefault="000A68F6" w:rsidP="00CC3F95">
      <w:pPr>
        <w:rPr>
          <w:rFonts w:ascii="Garamond" w:eastAsia="Garamond" w:hAnsi="Garamond" w:cs="Garamond"/>
        </w:rPr>
      </w:pPr>
      <w:r w:rsidRPr="005611DA">
        <w:rPr>
          <w:rFonts w:ascii="Garamond" w:eastAsia="Garamond" w:hAnsi="Garamond" w:cs="Garamond"/>
        </w:rPr>
        <w:t xml:space="preserve">Stokes, Brett, </w:t>
      </w:r>
      <w:r w:rsidRPr="005611DA">
        <w:rPr>
          <w:rFonts w:ascii="Garamond" w:eastAsia="Garamond" w:hAnsi="Garamond" w:cs="Garamond"/>
          <w:i/>
          <w:iCs/>
        </w:rPr>
        <w:t>Patria o Muerte!: José Martí, Fidel Castro, and the Path to Cuban Communism</w:t>
      </w:r>
      <w:r w:rsidRPr="005611DA">
        <w:rPr>
          <w:rFonts w:ascii="Garamond" w:eastAsia="Garamond" w:hAnsi="Garamond" w:cs="Garamond"/>
        </w:rPr>
        <w:t>, University of Colorado (2013)</w:t>
      </w:r>
    </w:p>
    <w:p w14:paraId="48630303" w14:textId="77777777" w:rsidR="000A68F6" w:rsidRPr="005611DA" w:rsidRDefault="000A68F6" w:rsidP="00CC3F95">
      <w:pPr>
        <w:rPr>
          <w:rFonts w:ascii="Garamond" w:eastAsia="Garamond" w:hAnsi="Garamond" w:cs="Garamond"/>
        </w:rPr>
      </w:pPr>
      <w:r w:rsidRPr="005611DA">
        <w:rPr>
          <w:rFonts w:ascii="Garamond" w:eastAsia="Garamond" w:hAnsi="Garamond" w:cs="Garamond"/>
        </w:rPr>
        <w:t xml:space="preserve">Available at: </w:t>
      </w:r>
      <w:hyperlink r:id="rId13">
        <w:r w:rsidRPr="005611DA">
          <w:rPr>
            <w:rStyle w:val="Hyperlink"/>
            <w:rFonts w:ascii="Garamond" w:eastAsia="Garamond" w:hAnsi="Garamond" w:cs="Garamond"/>
          </w:rPr>
          <w:t>https://scholar.colorado.edu/cgi/viewcontent.cgi?article=1689&amp;context=honr_theses</w:t>
        </w:r>
      </w:hyperlink>
      <w:r w:rsidRPr="005611DA">
        <w:rPr>
          <w:rFonts w:ascii="Garamond" w:eastAsia="Garamond" w:hAnsi="Garamond" w:cs="Garamond"/>
        </w:rPr>
        <w:t xml:space="preserve"> </w:t>
      </w:r>
    </w:p>
    <w:p w14:paraId="1977656E" w14:textId="77777777" w:rsidR="00CA1F5B" w:rsidRDefault="00CA1F5B" w:rsidP="00CC3F95">
      <w:pPr>
        <w:rPr>
          <w:rFonts w:ascii="Garamond" w:eastAsia="Garamond" w:hAnsi="Garamond" w:cs="Garamond"/>
          <w:i/>
          <w:iCs/>
          <w:sz w:val="28"/>
          <w:szCs w:val="28"/>
        </w:rPr>
      </w:pPr>
    </w:p>
    <w:p w14:paraId="147AF08D" w14:textId="77777777" w:rsidR="00CA1F5B" w:rsidRDefault="00CA1F5B" w:rsidP="00CC3F95">
      <w:pPr>
        <w:rPr>
          <w:rFonts w:ascii="Garamond" w:eastAsia="Garamond" w:hAnsi="Garamond" w:cs="Garamond"/>
          <w:i/>
          <w:iCs/>
          <w:sz w:val="28"/>
          <w:szCs w:val="28"/>
        </w:rPr>
      </w:pPr>
    </w:p>
    <w:p w14:paraId="4B6AFE8E" w14:textId="77777777" w:rsidR="00CA1F5B" w:rsidRDefault="00CA1F5B" w:rsidP="00CC3F95">
      <w:pPr>
        <w:rPr>
          <w:rFonts w:ascii="Garamond" w:eastAsia="Garamond" w:hAnsi="Garamond" w:cs="Garamond"/>
          <w:i/>
          <w:iCs/>
          <w:sz w:val="28"/>
          <w:szCs w:val="28"/>
        </w:rPr>
      </w:pPr>
    </w:p>
    <w:p w14:paraId="62B4634D" w14:textId="77777777" w:rsidR="000A68F6" w:rsidRPr="005611DA" w:rsidRDefault="000A68F6" w:rsidP="00CC3F95">
      <w:pPr>
        <w:rPr>
          <w:rFonts w:ascii="Garamond" w:eastAsia="Garamond" w:hAnsi="Garamond" w:cs="Garamond"/>
          <w:i/>
          <w:iCs/>
          <w:sz w:val="28"/>
          <w:szCs w:val="28"/>
        </w:rPr>
      </w:pPr>
      <w:r w:rsidRPr="005611DA">
        <w:rPr>
          <w:rFonts w:ascii="Garamond" w:eastAsia="Garamond" w:hAnsi="Garamond" w:cs="Garamond"/>
          <w:i/>
          <w:iCs/>
          <w:sz w:val="28"/>
          <w:szCs w:val="28"/>
        </w:rPr>
        <w:t>Online Resources:</w:t>
      </w:r>
    </w:p>
    <w:p w14:paraId="3D527962" w14:textId="77777777" w:rsidR="000A68F6" w:rsidRPr="005611DA" w:rsidRDefault="000A68F6" w:rsidP="00CC3F95">
      <w:pPr>
        <w:rPr>
          <w:rFonts w:ascii="Garamond" w:hAnsi="Garamond"/>
        </w:rPr>
      </w:pPr>
    </w:p>
    <w:p w14:paraId="20077A79"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Placencia, Germán Veloz, </w:t>
      </w:r>
      <w:r w:rsidRPr="005611DA">
        <w:rPr>
          <w:rFonts w:ascii="Garamond" w:eastAsia="Garamond" w:hAnsi="Garamond" w:cs="Garamond"/>
          <w:i/>
          <w:iCs/>
          <w:sz w:val="22"/>
          <w:szCs w:val="22"/>
        </w:rPr>
        <w:t>Che’s passion for the nickel industry</w:t>
      </w:r>
      <w:r w:rsidRPr="005611DA">
        <w:rPr>
          <w:rFonts w:ascii="Garamond" w:eastAsia="Garamond" w:hAnsi="Garamond" w:cs="Garamond"/>
          <w:sz w:val="22"/>
          <w:szCs w:val="22"/>
        </w:rPr>
        <w:t>, Granma (2017)</w:t>
      </w:r>
    </w:p>
    <w:p w14:paraId="59F22D93"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Available at: </w:t>
      </w:r>
      <w:hyperlink r:id="rId14">
        <w:r w:rsidRPr="005611DA">
          <w:rPr>
            <w:rStyle w:val="Hyperlink"/>
            <w:rFonts w:ascii="Garamond" w:eastAsia="Garamond" w:hAnsi="Garamond" w:cs="Garamond"/>
            <w:sz w:val="22"/>
            <w:szCs w:val="22"/>
          </w:rPr>
          <w:t>http://en.granma.cu/cuba/2017-08-23/ches-passion-for-the-nickel-industry</w:t>
        </w:r>
      </w:hyperlink>
      <w:r w:rsidRPr="005611DA">
        <w:rPr>
          <w:rFonts w:ascii="Garamond" w:eastAsia="Garamond" w:hAnsi="Garamond" w:cs="Garamond"/>
          <w:sz w:val="22"/>
          <w:szCs w:val="22"/>
        </w:rPr>
        <w:t xml:space="preserve"> </w:t>
      </w:r>
    </w:p>
    <w:p w14:paraId="3ACB5464" w14:textId="77777777" w:rsidR="000A68F6" w:rsidRPr="005611DA" w:rsidRDefault="000A68F6" w:rsidP="00CC3F95">
      <w:pPr>
        <w:rPr>
          <w:rFonts w:ascii="Garamond" w:hAnsi="Garamond"/>
        </w:rPr>
      </w:pPr>
    </w:p>
    <w:p w14:paraId="25716110" w14:textId="77777777" w:rsidR="000A68F6" w:rsidRPr="005611DA" w:rsidRDefault="000A68F6" w:rsidP="00CC3F95">
      <w:pPr>
        <w:rPr>
          <w:rFonts w:ascii="Garamond" w:eastAsia="Garamond" w:hAnsi="Garamond" w:cs="Garamond"/>
        </w:rPr>
      </w:pPr>
      <w:r w:rsidRPr="005611DA">
        <w:rPr>
          <w:rFonts w:ascii="Garamond" w:eastAsia="Garamond" w:hAnsi="Garamond" w:cs="Garamond"/>
        </w:rPr>
        <w:t xml:space="preserve">Sinha, Shreeya, </w:t>
      </w:r>
      <w:r w:rsidRPr="005611DA">
        <w:rPr>
          <w:rFonts w:ascii="Garamond" w:eastAsia="Garamond" w:hAnsi="Garamond" w:cs="Garamond"/>
          <w:i/>
          <w:iCs/>
        </w:rPr>
        <w:t>Castro’s Revolution, Illustrated</w:t>
      </w:r>
      <w:r w:rsidRPr="005611DA">
        <w:rPr>
          <w:rFonts w:ascii="Garamond" w:eastAsia="Garamond" w:hAnsi="Garamond" w:cs="Garamond"/>
        </w:rPr>
        <w:t>, The New York Times (2016)</w:t>
      </w:r>
    </w:p>
    <w:p w14:paraId="09A56966" w14:textId="77777777" w:rsidR="000A68F6" w:rsidRPr="005611DA" w:rsidRDefault="000A68F6" w:rsidP="00CC3F95">
      <w:pPr>
        <w:rPr>
          <w:rFonts w:ascii="Garamond" w:eastAsia="Garamond" w:hAnsi="Garamond" w:cs="Garamond"/>
        </w:rPr>
      </w:pPr>
      <w:r w:rsidRPr="005611DA">
        <w:rPr>
          <w:rFonts w:ascii="Garamond" w:eastAsia="Garamond" w:hAnsi="Garamond" w:cs="Garamond"/>
        </w:rPr>
        <w:t xml:space="preserve">Available at: </w:t>
      </w:r>
      <w:hyperlink r:id="rId15">
        <w:r w:rsidRPr="005611DA">
          <w:rPr>
            <w:rStyle w:val="Hyperlink"/>
            <w:rFonts w:ascii="Garamond" w:eastAsia="Garamond" w:hAnsi="Garamond" w:cs="Garamond"/>
          </w:rPr>
          <w:t>https://www.nytimes.com/interactive/2016/11/26/world/americas/fidel-castro-cuban-posters.html</w:t>
        </w:r>
      </w:hyperlink>
      <w:r w:rsidRPr="005611DA">
        <w:rPr>
          <w:rFonts w:ascii="Garamond" w:eastAsia="Garamond" w:hAnsi="Garamond" w:cs="Garamond"/>
        </w:rPr>
        <w:t xml:space="preserve"> </w:t>
      </w:r>
    </w:p>
    <w:p w14:paraId="29C92594" w14:textId="77777777" w:rsidR="000A68F6" w:rsidRPr="005611DA" w:rsidRDefault="000A68F6" w:rsidP="00CC3F95">
      <w:pPr>
        <w:rPr>
          <w:rFonts w:ascii="Garamond" w:hAnsi="Garamond"/>
        </w:rPr>
      </w:pPr>
    </w:p>
    <w:p w14:paraId="24B36919"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Stodden, William, </w:t>
      </w:r>
      <w:r w:rsidRPr="005611DA">
        <w:rPr>
          <w:rFonts w:ascii="Garamond" w:eastAsia="Garamond" w:hAnsi="Garamond" w:cs="Garamond"/>
          <w:i/>
          <w:iCs/>
          <w:sz w:val="22"/>
          <w:szCs w:val="22"/>
        </w:rPr>
        <w:t>Chronology of The Economic Ministry of Comrade Guevara after the Revolution in Cuba</w:t>
      </w:r>
      <w:r w:rsidRPr="005611DA">
        <w:rPr>
          <w:rFonts w:ascii="Garamond" w:eastAsia="Garamond" w:hAnsi="Garamond" w:cs="Garamond"/>
          <w:sz w:val="22"/>
          <w:szCs w:val="22"/>
        </w:rPr>
        <w:t>, Che Guevara Internet Archive (2000)</w:t>
      </w:r>
    </w:p>
    <w:p w14:paraId="11D39EC1" w14:textId="77777777" w:rsidR="000A68F6" w:rsidRPr="005611DA" w:rsidRDefault="000A68F6" w:rsidP="00CC3F95">
      <w:pPr>
        <w:rPr>
          <w:rStyle w:val="Hyperlink"/>
          <w:rFonts w:ascii="Garamond" w:eastAsia="Garamond" w:hAnsi="Garamond" w:cs="Garamond"/>
        </w:rPr>
      </w:pPr>
      <w:r w:rsidRPr="005611DA">
        <w:rPr>
          <w:rFonts w:ascii="Garamond" w:eastAsia="Garamond" w:hAnsi="Garamond" w:cs="Garamond"/>
        </w:rPr>
        <w:t xml:space="preserve">Available at: </w:t>
      </w:r>
      <w:hyperlink r:id="rId16">
        <w:r w:rsidRPr="005611DA">
          <w:rPr>
            <w:rStyle w:val="Hyperlink"/>
            <w:rFonts w:ascii="Garamond" w:eastAsia="Garamond" w:hAnsi="Garamond" w:cs="Garamond"/>
          </w:rPr>
          <w:t>https://www.marxists.org/archive/guevara/biography/econ-ministry.htm</w:t>
        </w:r>
      </w:hyperlink>
    </w:p>
    <w:p w14:paraId="7E7E0E34" w14:textId="77777777" w:rsidR="000A68F6" w:rsidRPr="005611DA" w:rsidRDefault="000A68F6" w:rsidP="00CC3F95">
      <w:pPr>
        <w:rPr>
          <w:rStyle w:val="Hyperlink"/>
          <w:rFonts w:ascii="Garamond" w:hAnsi="Garamond"/>
        </w:rPr>
      </w:pPr>
    </w:p>
    <w:p w14:paraId="44F3D4A8" w14:textId="77777777" w:rsidR="000A68F6" w:rsidRPr="005611DA" w:rsidRDefault="000A68F6" w:rsidP="00CC3F95">
      <w:pPr>
        <w:rPr>
          <w:rStyle w:val="Hyperlink"/>
          <w:rFonts w:ascii="Garamond" w:eastAsia="Garamond" w:hAnsi="Garamond" w:cs="Garamond"/>
          <w:u w:val="none"/>
        </w:rPr>
      </w:pPr>
      <w:r w:rsidRPr="005611DA">
        <w:rPr>
          <w:rStyle w:val="Hyperlink"/>
          <w:rFonts w:ascii="Garamond" w:eastAsia="Garamond" w:hAnsi="Garamond" w:cs="Garamond"/>
          <w:u w:val="none"/>
        </w:rPr>
        <w:t xml:space="preserve">Yaffe, Helen, </w:t>
      </w:r>
      <w:r w:rsidRPr="005611DA">
        <w:rPr>
          <w:rStyle w:val="Hyperlink"/>
          <w:rFonts w:ascii="Garamond" w:eastAsia="Garamond" w:hAnsi="Garamond" w:cs="Garamond"/>
          <w:i/>
          <w:iCs/>
          <w:u w:val="none"/>
        </w:rPr>
        <w:t>Cuba is poor, but who is to blame – Castro or 50 years of US blockade?</w:t>
      </w:r>
      <w:r w:rsidRPr="005611DA">
        <w:rPr>
          <w:rStyle w:val="Hyperlink"/>
          <w:rFonts w:ascii="Garamond" w:eastAsia="Garamond" w:hAnsi="Garamond" w:cs="Garamond"/>
          <w:u w:val="none"/>
        </w:rPr>
        <w:t>, The Conversation (2016)</w:t>
      </w:r>
    </w:p>
    <w:p w14:paraId="5931FCEF" w14:textId="77777777" w:rsidR="000A68F6" w:rsidRPr="005611DA" w:rsidRDefault="000A68F6" w:rsidP="00CC3F95">
      <w:pPr>
        <w:rPr>
          <w:rStyle w:val="Hyperlink"/>
          <w:rFonts w:ascii="Garamond" w:eastAsia="Garamond" w:hAnsi="Garamond" w:cs="Garamond"/>
          <w:u w:val="none"/>
        </w:rPr>
      </w:pPr>
      <w:r w:rsidRPr="005611DA">
        <w:rPr>
          <w:rStyle w:val="Hyperlink"/>
          <w:rFonts w:ascii="Garamond" w:eastAsia="Garamond" w:hAnsi="Garamond" w:cs="Garamond"/>
          <w:u w:val="none"/>
        </w:rPr>
        <w:t xml:space="preserve">Available at: </w:t>
      </w:r>
      <w:hyperlink r:id="rId17">
        <w:r w:rsidRPr="005611DA">
          <w:rPr>
            <w:rStyle w:val="Hyperlink"/>
            <w:rFonts w:ascii="Garamond" w:eastAsia="Garamond" w:hAnsi="Garamond" w:cs="Garamond"/>
          </w:rPr>
          <w:t>http://theconversation.com/cuba-is-poor-but-who-is-to-blame-castro-or-50-years-of-us-blockade-69528</w:t>
        </w:r>
      </w:hyperlink>
      <w:r w:rsidRPr="005611DA">
        <w:rPr>
          <w:rStyle w:val="Hyperlink"/>
          <w:rFonts w:ascii="Garamond" w:eastAsia="Garamond" w:hAnsi="Garamond" w:cs="Garamond"/>
          <w:u w:val="none"/>
        </w:rPr>
        <w:t xml:space="preserve"> </w:t>
      </w:r>
    </w:p>
    <w:p w14:paraId="6DC136BC" w14:textId="77777777" w:rsidR="000A68F6" w:rsidRPr="005611DA" w:rsidRDefault="000A68F6" w:rsidP="00CC3F95">
      <w:pPr>
        <w:rPr>
          <w:rFonts w:ascii="Garamond" w:hAnsi="Garamond"/>
        </w:rPr>
      </w:pPr>
    </w:p>
    <w:p w14:paraId="285DC94D"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Vidal, Pavel, </w:t>
      </w:r>
      <w:r w:rsidRPr="005611DA">
        <w:rPr>
          <w:rFonts w:ascii="Garamond" w:eastAsia="Garamond" w:hAnsi="Garamond" w:cs="Garamond"/>
          <w:i/>
          <w:iCs/>
          <w:sz w:val="22"/>
          <w:szCs w:val="22"/>
        </w:rPr>
        <w:t>Is Cuba’s Economy Ready for the 2018 Leadership Transition?</w:t>
      </w:r>
      <w:r w:rsidRPr="005611DA">
        <w:rPr>
          <w:rFonts w:ascii="Garamond" w:eastAsia="Garamond" w:hAnsi="Garamond" w:cs="Garamond"/>
          <w:sz w:val="22"/>
          <w:szCs w:val="22"/>
        </w:rPr>
        <w:t>, Cuba Study Group (2018)</w:t>
      </w:r>
    </w:p>
    <w:p w14:paraId="31006451" w14:textId="77777777" w:rsidR="000A68F6" w:rsidRPr="005611DA" w:rsidRDefault="000A68F6" w:rsidP="00CC3F95">
      <w:pPr>
        <w:pStyle w:val="FootnoteText"/>
        <w:rPr>
          <w:rFonts w:ascii="Garamond" w:eastAsia="Garamond" w:hAnsi="Garamond" w:cs="Garamond"/>
          <w:sz w:val="22"/>
          <w:szCs w:val="22"/>
        </w:rPr>
      </w:pPr>
      <w:r w:rsidRPr="005611DA">
        <w:rPr>
          <w:rFonts w:ascii="Garamond" w:eastAsia="Garamond" w:hAnsi="Garamond" w:cs="Garamond"/>
          <w:sz w:val="22"/>
          <w:szCs w:val="22"/>
        </w:rPr>
        <w:t xml:space="preserve">Available at: </w:t>
      </w:r>
      <w:hyperlink r:id="rId18">
        <w:r w:rsidRPr="005611DA">
          <w:rPr>
            <w:rStyle w:val="Hyperlink"/>
            <w:rFonts w:ascii="Garamond" w:eastAsia="Garamond" w:hAnsi="Garamond" w:cs="Garamond"/>
            <w:sz w:val="22"/>
            <w:szCs w:val="22"/>
          </w:rPr>
          <w:t>http://www.cubastudygroup.org/index.cfm/files/serve?File_id=046febac-1f56-4690-8107-a6e6568c5bf0</w:t>
        </w:r>
      </w:hyperlink>
      <w:r w:rsidRPr="005611DA">
        <w:rPr>
          <w:rFonts w:ascii="Garamond" w:eastAsia="Garamond" w:hAnsi="Garamond" w:cs="Garamond"/>
          <w:sz w:val="22"/>
          <w:szCs w:val="22"/>
        </w:rPr>
        <w:t xml:space="preserve"> </w:t>
      </w:r>
    </w:p>
    <w:p w14:paraId="77154CFE" w14:textId="77777777" w:rsidR="000A68F6" w:rsidRPr="00A81D83" w:rsidRDefault="000A68F6" w:rsidP="00CC3F95">
      <w:pPr>
        <w:rPr>
          <w:rFonts w:ascii="Garamond" w:hAnsi="Garamond"/>
        </w:rPr>
      </w:pPr>
    </w:p>
    <w:p w14:paraId="073796C0" w14:textId="77777777" w:rsidR="000A68F6" w:rsidRDefault="000A68F6" w:rsidP="00CC3F95">
      <w:pPr>
        <w:rPr>
          <w:rFonts w:ascii="Garamond" w:hAnsi="Garamond"/>
        </w:rPr>
      </w:pPr>
    </w:p>
    <w:p w14:paraId="7A9EFB91" w14:textId="77777777" w:rsidR="00CA1F5B" w:rsidRDefault="00CA1F5B" w:rsidP="00CC3F95">
      <w:pPr>
        <w:rPr>
          <w:rFonts w:ascii="Garamond" w:hAnsi="Garamond"/>
        </w:rPr>
      </w:pPr>
    </w:p>
    <w:p w14:paraId="4025F63E" w14:textId="77777777" w:rsidR="00CA1F5B" w:rsidRDefault="00CA1F5B" w:rsidP="00CC3F95">
      <w:pPr>
        <w:rPr>
          <w:rFonts w:ascii="Garamond" w:hAnsi="Garamond"/>
        </w:rPr>
      </w:pPr>
    </w:p>
    <w:p w14:paraId="0B647913" w14:textId="77777777" w:rsidR="00CA1F5B" w:rsidRDefault="00CA1F5B" w:rsidP="00CC3F95">
      <w:pPr>
        <w:rPr>
          <w:rFonts w:ascii="Garamond" w:hAnsi="Garamond"/>
        </w:rPr>
      </w:pPr>
    </w:p>
    <w:p w14:paraId="28858B7F" w14:textId="77777777" w:rsidR="00CA1F5B" w:rsidRDefault="00CA1F5B" w:rsidP="00CC3F95">
      <w:pPr>
        <w:rPr>
          <w:rFonts w:ascii="Garamond" w:hAnsi="Garamond"/>
        </w:rPr>
      </w:pPr>
    </w:p>
    <w:p w14:paraId="26454674" w14:textId="77777777" w:rsidR="00CA1F5B" w:rsidRDefault="00CA1F5B" w:rsidP="00CC3F95">
      <w:pPr>
        <w:rPr>
          <w:rFonts w:ascii="Garamond" w:hAnsi="Garamond"/>
        </w:rPr>
      </w:pPr>
    </w:p>
    <w:p w14:paraId="4AAC9646" w14:textId="77777777" w:rsidR="00CA1F5B" w:rsidRDefault="00CA1F5B" w:rsidP="00CC3F95">
      <w:pPr>
        <w:rPr>
          <w:rFonts w:ascii="Garamond" w:hAnsi="Garamond"/>
        </w:rPr>
      </w:pPr>
    </w:p>
    <w:p w14:paraId="5A0DD5DE" w14:textId="77777777" w:rsidR="00CA1F5B" w:rsidRDefault="00CA1F5B" w:rsidP="00CC3F95">
      <w:pPr>
        <w:rPr>
          <w:rFonts w:ascii="Garamond" w:hAnsi="Garamond"/>
        </w:rPr>
      </w:pPr>
    </w:p>
    <w:p w14:paraId="5FD288B4" w14:textId="77777777" w:rsidR="00CA1F5B" w:rsidRDefault="00CA1F5B" w:rsidP="00CC3F95">
      <w:pPr>
        <w:rPr>
          <w:rFonts w:ascii="Garamond" w:hAnsi="Garamond"/>
        </w:rPr>
      </w:pPr>
    </w:p>
    <w:p w14:paraId="2AD3402D" w14:textId="77777777" w:rsidR="00CA1F5B" w:rsidRDefault="00CA1F5B" w:rsidP="00CC3F95">
      <w:pPr>
        <w:rPr>
          <w:rFonts w:ascii="Garamond" w:hAnsi="Garamond"/>
        </w:rPr>
      </w:pPr>
    </w:p>
    <w:p w14:paraId="0551CF93" w14:textId="77777777" w:rsidR="00CA1F5B" w:rsidRDefault="00CA1F5B" w:rsidP="00CC3F95">
      <w:pPr>
        <w:rPr>
          <w:rFonts w:ascii="Garamond" w:hAnsi="Garamond"/>
        </w:rPr>
      </w:pPr>
    </w:p>
    <w:p w14:paraId="2E94E9FC" w14:textId="77777777" w:rsidR="00CA1F5B" w:rsidRDefault="00CA1F5B" w:rsidP="00CC3F95">
      <w:pPr>
        <w:rPr>
          <w:rFonts w:ascii="Garamond" w:hAnsi="Garamond"/>
        </w:rPr>
      </w:pPr>
    </w:p>
    <w:p w14:paraId="21E12923" w14:textId="77777777" w:rsidR="00CA1F5B" w:rsidRDefault="00CA1F5B" w:rsidP="00CC3F95">
      <w:pPr>
        <w:rPr>
          <w:rFonts w:ascii="Garamond" w:hAnsi="Garamond"/>
        </w:rPr>
      </w:pPr>
    </w:p>
    <w:p w14:paraId="55F3ED38" w14:textId="77777777" w:rsidR="00CA1F5B" w:rsidRDefault="00CA1F5B" w:rsidP="00CC3F95">
      <w:pPr>
        <w:rPr>
          <w:rFonts w:ascii="Garamond" w:hAnsi="Garamond"/>
        </w:rPr>
      </w:pPr>
    </w:p>
    <w:p w14:paraId="09E05E74" w14:textId="77777777" w:rsidR="00CA1F5B" w:rsidRDefault="00CA1F5B" w:rsidP="00CC3F95">
      <w:pPr>
        <w:rPr>
          <w:rFonts w:ascii="Garamond" w:hAnsi="Garamond"/>
        </w:rPr>
      </w:pPr>
    </w:p>
    <w:p w14:paraId="7F944B33" w14:textId="77777777" w:rsidR="00CA1F5B" w:rsidRDefault="00CA1F5B" w:rsidP="00CC3F95">
      <w:pPr>
        <w:rPr>
          <w:rFonts w:ascii="Garamond" w:hAnsi="Garamond"/>
        </w:rPr>
      </w:pPr>
    </w:p>
    <w:p w14:paraId="7715D32B" w14:textId="77777777" w:rsidR="00CA1F5B" w:rsidRDefault="00CA1F5B" w:rsidP="00CC3F95">
      <w:pPr>
        <w:rPr>
          <w:rFonts w:ascii="Garamond" w:hAnsi="Garamond"/>
        </w:rPr>
      </w:pPr>
    </w:p>
    <w:p w14:paraId="1B530B57" w14:textId="77777777" w:rsidR="00CA1F5B" w:rsidRDefault="00CA1F5B" w:rsidP="00CC3F95">
      <w:pPr>
        <w:rPr>
          <w:rFonts w:ascii="Garamond" w:hAnsi="Garamond"/>
        </w:rPr>
      </w:pPr>
    </w:p>
    <w:p w14:paraId="5BE6BFAD" w14:textId="77777777" w:rsidR="00CA1F5B" w:rsidRDefault="00CA1F5B" w:rsidP="00CC3F95">
      <w:pPr>
        <w:rPr>
          <w:rFonts w:ascii="Garamond" w:hAnsi="Garamond"/>
        </w:rPr>
      </w:pPr>
    </w:p>
    <w:p w14:paraId="3E543D18" w14:textId="77777777" w:rsidR="00CA1F5B" w:rsidRDefault="00CA1F5B" w:rsidP="00CC3F95">
      <w:pPr>
        <w:rPr>
          <w:rFonts w:ascii="Garamond" w:hAnsi="Garamond"/>
        </w:rPr>
      </w:pPr>
    </w:p>
    <w:p w14:paraId="40B8951D" w14:textId="77777777" w:rsidR="00CA1F5B" w:rsidRDefault="00CA1F5B" w:rsidP="00CC3F95">
      <w:pPr>
        <w:rPr>
          <w:rFonts w:ascii="Garamond" w:hAnsi="Garamond"/>
        </w:rPr>
      </w:pPr>
    </w:p>
    <w:p w14:paraId="043D59BF" w14:textId="77777777" w:rsidR="00CA1F5B" w:rsidRDefault="00CA1F5B" w:rsidP="00CC3F95">
      <w:pPr>
        <w:rPr>
          <w:rFonts w:ascii="Garamond" w:hAnsi="Garamond"/>
        </w:rPr>
      </w:pPr>
    </w:p>
    <w:p w14:paraId="40A8B08E" w14:textId="77777777" w:rsidR="00CA1F5B" w:rsidRDefault="00CA1F5B" w:rsidP="00CC3F95">
      <w:pPr>
        <w:rPr>
          <w:rFonts w:ascii="Garamond" w:hAnsi="Garamond"/>
        </w:rPr>
      </w:pPr>
    </w:p>
    <w:p w14:paraId="228A0BF5" w14:textId="77777777" w:rsidR="00CA1F5B" w:rsidRDefault="00CA1F5B" w:rsidP="00CC3F95">
      <w:pPr>
        <w:rPr>
          <w:rFonts w:ascii="Garamond" w:hAnsi="Garamond"/>
        </w:rPr>
      </w:pPr>
    </w:p>
    <w:p w14:paraId="24F97DB6" w14:textId="77777777" w:rsidR="005072EB" w:rsidRDefault="005072EB" w:rsidP="00CC3F95">
      <w:pPr>
        <w:spacing w:line="360" w:lineRule="auto"/>
        <w:rPr>
          <w:rFonts w:ascii="Garamond" w:hAnsi="Garamond"/>
        </w:rPr>
      </w:pPr>
    </w:p>
    <w:p w14:paraId="12588271" w14:textId="77777777" w:rsidR="005072EB" w:rsidRPr="005B1D13" w:rsidRDefault="005072EB" w:rsidP="00CC3F95">
      <w:pPr>
        <w:spacing w:line="360" w:lineRule="auto"/>
        <w:rPr>
          <w:rFonts w:ascii="Garamond" w:eastAsia="Garamond" w:hAnsi="Garamond" w:cs="Garamond"/>
          <w:b/>
          <w:bCs/>
          <w:sz w:val="28"/>
          <w:szCs w:val="28"/>
        </w:rPr>
      </w:pPr>
      <w:r w:rsidRPr="1B5476D9">
        <w:rPr>
          <w:rFonts w:ascii="Garamond" w:eastAsia="Garamond" w:hAnsi="Garamond" w:cs="Garamond"/>
          <w:b/>
          <w:bCs/>
          <w:sz w:val="28"/>
          <w:szCs w:val="28"/>
          <w:u w:val="single"/>
        </w:rPr>
        <w:lastRenderedPageBreak/>
        <w:t>Appendices</w:t>
      </w:r>
    </w:p>
    <w:p w14:paraId="6890DBED" w14:textId="77777777" w:rsidR="005072EB" w:rsidRPr="005B1D13" w:rsidRDefault="005072EB" w:rsidP="00CC3F95">
      <w:pPr>
        <w:spacing w:line="360" w:lineRule="auto"/>
        <w:rPr>
          <w:rFonts w:ascii="Garamond" w:hAnsi="Garamond"/>
        </w:rPr>
      </w:pPr>
      <w:r w:rsidRPr="005B1D13">
        <w:rPr>
          <w:rFonts w:ascii="Garamond" w:hAnsi="Garamond"/>
          <w:noProof/>
        </w:rPr>
        <w:drawing>
          <wp:anchor distT="0" distB="0" distL="114300" distR="114300" simplePos="0" relativeHeight="251660288" behindDoc="1" locked="0" layoutInCell="1" allowOverlap="1" wp14:anchorId="0AEB1DBE" wp14:editId="78E0B8B8">
            <wp:simplePos x="0" y="0"/>
            <wp:positionH relativeFrom="column">
              <wp:posOffset>321411</wp:posOffset>
            </wp:positionH>
            <wp:positionV relativeFrom="paragraph">
              <wp:posOffset>60442</wp:posOffset>
            </wp:positionV>
            <wp:extent cx="3810000" cy="5213350"/>
            <wp:effectExtent l="0" t="0" r="0" b="6350"/>
            <wp:wrapTight wrapText="bothSides">
              <wp:wrapPolygon edited="0">
                <wp:start x="0" y="0"/>
                <wp:lineTo x="0" y="21574"/>
                <wp:lineTo x="21528" y="21574"/>
                <wp:lineTo x="2152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19">
                      <a:extLst>
                        <a:ext uri="{28A0092B-C50C-407E-A947-70E740481C1C}">
                          <a14:useLocalDpi xmlns:a14="http://schemas.microsoft.com/office/drawing/2010/main" val="0"/>
                        </a:ext>
                      </a:extLst>
                    </a:blip>
                    <a:stretch>
                      <a:fillRect/>
                    </a:stretch>
                  </pic:blipFill>
                  <pic:spPr>
                    <a:xfrm>
                      <a:off x="0" y="0"/>
                      <a:ext cx="3810000" cy="5213350"/>
                    </a:xfrm>
                    <a:prstGeom prst="rect">
                      <a:avLst/>
                    </a:prstGeom>
                  </pic:spPr>
                </pic:pic>
              </a:graphicData>
            </a:graphic>
          </wp:anchor>
        </w:drawing>
      </w:r>
    </w:p>
    <w:p w14:paraId="1851F9C1" w14:textId="77777777" w:rsidR="005072EB" w:rsidRPr="005B1D13" w:rsidRDefault="005072EB" w:rsidP="00CC3F95">
      <w:pPr>
        <w:rPr>
          <w:rFonts w:ascii="Garamond" w:hAnsi="Garamond"/>
        </w:rPr>
      </w:pPr>
    </w:p>
    <w:p w14:paraId="1BE70EBF" w14:textId="77777777" w:rsidR="005072EB" w:rsidRPr="005B1D13" w:rsidRDefault="005072EB" w:rsidP="00CC3F95">
      <w:pPr>
        <w:rPr>
          <w:rFonts w:ascii="Garamond" w:hAnsi="Garamond"/>
        </w:rPr>
      </w:pPr>
    </w:p>
    <w:p w14:paraId="0A2D809E" w14:textId="77777777" w:rsidR="005072EB" w:rsidRPr="005B1D13" w:rsidRDefault="005072EB" w:rsidP="00CC3F95">
      <w:pPr>
        <w:rPr>
          <w:rFonts w:ascii="Garamond" w:hAnsi="Garamond"/>
        </w:rPr>
      </w:pPr>
    </w:p>
    <w:p w14:paraId="0EABEEF7" w14:textId="77777777" w:rsidR="005072EB" w:rsidRPr="005B1D13" w:rsidRDefault="005072EB" w:rsidP="00CC3F95">
      <w:pPr>
        <w:rPr>
          <w:rFonts w:ascii="Garamond" w:hAnsi="Garamond"/>
        </w:rPr>
      </w:pPr>
    </w:p>
    <w:p w14:paraId="74FB2ABB" w14:textId="77777777" w:rsidR="005072EB" w:rsidRPr="005B1D13" w:rsidRDefault="005072EB" w:rsidP="00CC3F95">
      <w:pPr>
        <w:rPr>
          <w:rFonts w:ascii="Garamond" w:hAnsi="Garamond"/>
        </w:rPr>
      </w:pPr>
    </w:p>
    <w:p w14:paraId="62A34031" w14:textId="77777777" w:rsidR="005072EB" w:rsidRPr="005B1D13" w:rsidRDefault="005072EB" w:rsidP="00CC3F95">
      <w:pPr>
        <w:rPr>
          <w:rFonts w:ascii="Garamond" w:hAnsi="Garamond"/>
        </w:rPr>
      </w:pPr>
    </w:p>
    <w:p w14:paraId="2BE2862C" w14:textId="77777777" w:rsidR="005072EB" w:rsidRPr="005B1D13" w:rsidRDefault="005072EB" w:rsidP="00CC3F95">
      <w:pPr>
        <w:rPr>
          <w:rFonts w:ascii="Garamond" w:hAnsi="Garamond"/>
        </w:rPr>
      </w:pPr>
    </w:p>
    <w:p w14:paraId="2C420ED1" w14:textId="77777777" w:rsidR="005072EB" w:rsidRPr="005B1D13" w:rsidRDefault="005072EB" w:rsidP="00CC3F95">
      <w:pPr>
        <w:rPr>
          <w:rFonts w:ascii="Garamond" w:hAnsi="Garamond"/>
        </w:rPr>
      </w:pPr>
    </w:p>
    <w:p w14:paraId="7D3F30AE" w14:textId="77777777" w:rsidR="005072EB" w:rsidRPr="005B1D13" w:rsidRDefault="005072EB" w:rsidP="00CC3F95">
      <w:pPr>
        <w:rPr>
          <w:rFonts w:ascii="Garamond" w:hAnsi="Garamond"/>
        </w:rPr>
      </w:pPr>
    </w:p>
    <w:p w14:paraId="7C3B6B5C" w14:textId="77777777" w:rsidR="005072EB" w:rsidRPr="005B1D13" w:rsidRDefault="005072EB" w:rsidP="00CC3F95">
      <w:pPr>
        <w:rPr>
          <w:rFonts w:ascii="Garamond" w:hAnsi="Garamond"/>
        </w:rPr>
      </w:pPr>
    </w:p>
    <w:p w14:paraId="0E9294D9" w14:textId="77777777" w:rsidR="005072EB" w:rsidRPr="005B1D13" w:rsidRDefault="005072EB" w:rsidP="00CC3F95">
      <w:pPr>
        <w:rPr>
          <w:rFonts w:ascii="Garamond" w:hAnsi="Garamond"/>
        </w:rPr>
      </w:pPr>
    </w:p>
    <w:p w14:paraId="2864F604" w14:textId="77777777" w:rsidR="005072EB" w:rsidRPr="005B1D13" w:rsidRDefault="005072EB" w:rsidP="00CC3F95">
      <w:pPr>
        <w:rPr>
          <w:rFonts w:ascii="Garamond" w:hAnsi="Garamond"/>
        </w:rPr>
      </w:pPr>
    </w:p>
    <w:p w14:paraId="443EBF3C" w14:textId="77777777" w:rsidR="005072EB" w:rsidRPr="005B1D13" w:rsidRDefault="005072EB" w:rsidP="00CC3F95">
      <w:pPr>
        <w:rPr>
          <w:rFonts w:ascii="Garamond" w:hAnsi="Garamond"/>
        </w:rPr>
      </w:pPr>
    </w:p>
    <w:p w14:paraId="363B3B16" w14:textId="77777777" w:rsidR="005072EB" w:rsidRPr="005B1D13" w:rsidRDefault="005072EB" w:rsidP="00CC3F95">
      <w:pPr>
        <w:rPr>
          <w:rFonts w:ascii="Garamond" w:hAnsi="Garamond"/>
        </w:rPr>
      </w:pPr>
    </w:p>
    <w:p w14:paraId="1956901D" w14:textId="77777777" w:rsidR="005072EB" w:rsidRPr="005B1D13" w:rsidRDefault="005072EB" w:rsidP="00CC3F95">
      <w:pPr>
        <w:rPr>
          <w:rFonts w:ascii="Garamond" w:hAnsi="Garamond"/>
        </w:rPr>
      </w:pPr>
    </w:p>
    <w:p w14:paraId="28E36933" w14:textId="77777777" w:rsidR="005072EB" w:rsidRPr="005B1D13" w:rsidRDefault="005072EB" w:rsidP="00CC3F95">
      <w:pPr>
        <w:rPr>
          <w:rFonts w:ascii="Garamond" w:hAnsi="Garamond"/>
        </w:rPr>
      </w:pPr>
    </w:p>
    <w:p w14:paraId="37479A00" w14:textId="77777777" w:rsidR="005072EB" w:rsidRPr="005B1D13" w:rsidRDefault="005072EB" w:rsidP="00CC3F95">
      <w:pPr>
        <w:rPr>
          <w:rFonts w:ascii="Garamond" w:hAnsi="Garamond"/>
        </w:rPr>
      </w:pPr>
    </w:p>
    <w:p w14:paraId="50EBCEFC" w14:textId="77777777" w:rsidR="005072EB" w:rsidRPr="005B1D13" w:rsidRDefault="005072EB" w:rsidP="00CC3F95">
      <w:pPr>
        <w:rPr>
          <w:rFonts w:ascii="Garamond" w:hAnsi="Garamond"/>
        </w:rPr>
      </w:pPr>
    </w:p>
    <w:p w14:paraId="0170835A" w14:textId="77777777" w:rsidR="005072EB" w:rsidRPr="005B1D13" w:rsidRDefault="005072EB" w:rsidP="00CC3F95">
      <w:pPr>
        <w:rPr>
          <w:rFonts w:ascii="Garamond" w:hAnsi="Garamond"/>
        </w:rPr>
      </w:pPr>
    </w:p>
    <w:p w14:paraId="546BB317" w14:textId="77777777" w:rsidR="005072EB" w:rsidRPr="005B1D13" w:rsidRDefault="005072EB" w:rsidP="00CC3F95">
      <w:pPr>
        <w:rPr>
          <w:rFonts w:ascii="Garamond" w:hAnsi="Garamond"/>
        </w:rPr>
      </w:pPr>
    </w:p>
    <w:p w14:paraId="42C25751" w14:textId="77777777" w:rsidR="005072EB" w:rsidRPr="005B1D13" w:rsidRDefault="005072EB" w:rsidP="00CC3F95">
      <w:pPr>
        <w:rPr>
          <w:rFonts w:ascii="Garamond" w:hAnsi="Garamond"/>
        </w:rPr>
      </w:pPr>
    </w:p>
    <w:p w14:paraId="349C9B30" w14:textId="77777777" w:rsidR="005072EB" w:rsidRPr="005B1D13" w:rsidRDefault="005072EB" w:rsidP="00CC3F95">
      <w:pPr>
        <w:rPr>
          <w:rFonts w:ascii="Garamond" w:hAnsi="Garamond"/>
        </w:rPr>
      </w:pPr>
    </w:p>
    <w:p w14:paraId="76FA5554" w14:textId="77777777" w:rsidR="005072EB" w:rsidRPr="005B1D13" w:rsidRDefault="005072EB" w:rsidP="00CC3F95">
      <w:pPr>
        <w:rPr>
          <w:rFonts w:ascii="Garamond" w:hAnsi="Garamond"/>
        </w:rPr>
      </w:pPr>
    </w:p>
    <w:p w14:paraId="7CA86FFF" w14:textId="77777777" w:rsidR="005072EB" w:rsidRPr="005B1D13" w:rsidRDefault="005072EB" w:rsidP="00CC3F95">
      <w:pPr>
        <w:rPr>
          <w:rFonts w:ascii="Garamond" w:hAnsi="Garamond"/>
        </w:rPr>
      </w:pPr>
    </w:p>
    <w:p w14:paraId="64DD8CD6" w14:textId="77777777" w:rsidR="005072EB" w:rsidRPr="005B1D13" w:rsidRDefault="005072EB" w:rsidP="00CC3F95">
      <w:pPr>
        <w:rPr>
          <w:rFonts w:ascii="Garamond" w:hAnsi="Garamond"/>
        </w:rPr>
      </w:pPr>
    </w:p>
    <w:p w14:paraId="2270C9AE" w14:textId="77777777" w:rsidR="005072EB" w:rsidRPr="005B1D13" w:rsidRDefault="005072EB" w:rsidP="00CC3F95">
      <w:pPr>
        <w:rPr>
          <w:rFonts w:ascii="Garamond" w:hAnsi="Garamond"/>
        </w:rPr>
      </w:pPr>
    </w:p>
    <w:p w14:paraId="5BF5ED2E" w14:textId="77777777" w:rsidR="005072EB" w:rsidRPr="005B1D13" w:rsidRDefault="005072EB" w:rsidP="00CC3F95">
      <w:pPr>
        <w:rPr>
          <w:rFonts w:ascii="Garamond" w:hAnsi="Garamond"/>
        </w:rPr>
      </w:pPr>
    </w:p>
    <w:p w14:paraId="0498D6CE" w14:textId="77777777" w:rsidR="005072EB" w:rsidRPr="005B1D13" w:rsidRDefault="005072EB" w:rsidP="00CC3F95">
      <w:pPr>
        <w:rPr>
          <w:rFonts w:ascii="Garamond" w:hAnsi="Garamond"/>
        </w:rPr>
      </w:pPr>
    </w:p>
    <w:p w14:paraId="76754F2F" w14:textId="77777777" w:rsidR="005072EB" w:rsidRPr="005B1D13" w:rsidRDefault="005072EB" w:rsidP="00CC3F95">
      <w:pPr>
        <w:rPr>
          <w:rFonts w:ascii="Garamond" w:hAnsi="Garamond"/>
        </w:rPr>
      </w:pPr>
    </w:p>
    <w:p w14:paraId="0D6BC0AD" w14:textId="77777777" w:rsidR="005072EB" w:rsidRDefault="005072EB" w:rsidP="00CC3F95">
      <w:pPr>
        <w:rPr>
          <w:rFonts w:ascii="Garamond" w:hAnsi="Garamond"/>
        </w:rPr>
      </w:pPr>
    </w:p>
    <w:p w14:paraId="79CB7766" w14:textId="77777777" w:rsidR="005072EB" w:rsidRDefault="005072EB" w:rsidP="00CC3F95">
      <w:pPr>
        <w:rPr>
          <w:rFonts w:ascii="Garamond" w:hAnsi="Garamond"/>
        </w:rPr>
      </w:pPr>
    </w:p>
    <w:p w14:paraId="0DB079FF" w14:textId="77777777" w:rsidR="005072EB" w:rsidRDefault="005072EB" w:rsidP="00CC3F95">
      <w:pPr>
        <w:rPr>
          <w:rFonts w:ascii="Garamond" w:hAnsi="Garamond"/>
        </w:rPr>
      </w:pPr>
    </w:p>
    <w:p w14:paraId="4644DB84" w14:textId="77777777" w:rsidR="005072EB" w:rsidRPr="005B1D13" w:rsidRDefault="005072EB" w:rsidP="00CC3F95">
      <w:pPr>
        <w:rPr>
          <w:rFonts w:ascii="Garamond" w:hAnsi="Garamond"/>
        </w:rPr>
      </w:pPr>
    </w:p>
    <w:p w14:paraId="5AA6336A" w14:textId="77777777" w:rsidR="005072EB" w:rsidRPr="005B1D13" w:rsidRDefault="005072EB" w:rsidP="00CC3F95">
      <w:pPr>
        <w:rPr>
          <w:rFonts w:ascii="Garamond" w:eastAsia="Garamond" w:hAnsi="Garamond" w:cs="Garamond"/>
        </w:rPr>
      </w:pPr>
      <w:r w:rsidRPr="1B5476D9">
        <w:rPr>
          <w:rFonts w:ascii="Garamond" w:eastAsia="Garamond" w:hAnsi="Garamond" w:cs="Garamond"/>
        </w:rPr>
        <w:t>1. A poster commissioned by the Cuban Government in 1969 reads “One more arroba [25 pounds] per man every day. Nothing and no one can hold us back ever again”.</w:t>
      </w:r>
    </w:p>
    <w:p w14:paraId="350F48E4" w14:textId="77777777" w:rsidR="005072EB" w:rsidRPr="005B1D13" w:rsidRDefault="005072EB" w:rsidP="00CC3F95">
      <w:pPr>
        <w:rPr>
          <w:rFonts w:ascii="Garamond" w:eastAsia="Garamond" w:hAnsi="Garamond" w:cs="Garamond"/>
        </w:rPr>
      </w:pPr>
      <w:r w:rsidRPr="1B5476D9">
        <w:rPr>
          <w:rFonts w:ascii="Garamond" w:eastAsia="Garamond" w:hAnsi="Garamond" w:cs="Garamond"/>
        </w:rPr>
        <w:t xml:space="preserve">Source: Sinha, Shreeya, </w:t>
      </w:r>
      <w:r w:rsidRPr="1B5476D9">
        <w:rPr>
          <w:rFonts w:ascii="Garamond" w:eastAsia="Garamond" w:hAnsi="Garamond" w:cs="Garamond"/>
          <w:i/>
          <w:iCs/>
        </w:rPr>
        <w:t>Castro’s Revolution, Illustrated</w:t>
      </w:r>
      <w:r w:rsidRPr="1B5476D9">
        <w:rPr>
          <w:rFonts w:ascii="Garamond" w:eastAsia="Garamond" w:hAnsi="Garamond" w:cs="Garamond"/>
        </w:rPr>
        <w:t>, The New York Times (2016)</w:t>
      </w:r>
    </w:p>
    <w:p w14:paraId="266C3570" w14:textId="77777777" w:rsidR="005072EB" w:rsidRPr="005B1D13" w:rsidRDefault="005072EB" w:rsidP="00CC3F95">
      <w:pPr>
        <w:rPr>
          <w:rFonts w:ascii="Garamond" w:eastAsia="Garamond" w:hAnsi="Garamond" w:cs="Garamond"/>
        </w:rPr>
      </w:pPr>
      <w:r w:rsidRPr="1B5476D9">
        <w:rPr>
          <w:rFonts w:ascii="Garamond" w:eastAsia="Garamond" w:hAnsi="Garamond" w:cs="Garamond"/>
        </w:rPr>
        <w:t xml:space="preserve">Available at: </w:t>
      </w:r>
      <w:hyperlink r:id="rId20">
        <w:r w:rsidRPr="1B5476D9">
          <w:rPr>
            <w:rStyle w:val="Hyperlink"/>
            <w:rFonts w:ascii="Garamond" w:eastAsia="Garamond" w:hAnsi="Garamond" w:cs="Garamond"/>
          </w:rPr>
          <w:t>https://www.nytimes.com/interactive/2016/11/26/world/americas/fidel-castro-cuban-posters.html</w:t>
        </w:r>
      </w:hyperlink>
      <w:r w:rsidRPr="1B5476D9">
        <w:rPr>
          <w:rFonts w:ascii="Garamond" w:eastAsia="Garamond" w:hAnsi="Garamond" w:cs="Garamond"/>
        </w:rPr>
        <w:t xml:space="preserve"> </w:t>
      </w:r>
    </w:p>
    <w:p w14:paraId="204ABEAA" w14:textId="77777777" w:rsidR="005072EB" w:rsidRPr="005B1D13" w:rsidRDefault="005072EB" w:rsidP="00CC3F95">
      <w:pPr>
        <w:spacing w:line="360" w:lineRule="auto"/>
        <w:rPr>
          <w:rFonts w:ascii="Garamond" w:eastAsia="Baskerville Old Face" w:hAnsi="Garamond" w:cs="Baskerville Old Face"/>
          <w:u w:val="single"/>
        </w:rPr>
      </w:pPr>
    </w:p>
    <w:p w14:paraId="6E814357" w14:textId="77777777" w:rsidR="005072EB" w:rsidRPr="005B1D13" w:rsidRDefault="005072EB" w:rsidP="00CC3F95">
      <w:pPr>
        <w:spacing w:line="360" w:lineRule="auto"/>
        <w:rPr>
          <w:rFonts w:ascii="Garamond" w:eastAsia="Baskerville Old Face" w:hAnsi="Garamond" w:cs="Baskerville Old Face"/>
          <w:u w:val="single"/>
        </w:rPr>
      </w:pPr>
    </w:p>
    <w:p w14:paraId="70015AA9" w14:textId="77777777" w:rsidR="005072EB" w:rsidRPr="005B1D13" w:rsidRDefault="005072EB" w:rsidP="00CC3F95">
      <w:pPr>
        <w:spacing w:line="360" w:lineRule="auto"/>
        <w:rPr>
          <w:rFonts w:ascii="Garamond" w:eastAsia="Baskerville Old Face" w:hAnsi="Garamond" w:cs="Baskerville Old Face"/>
          <w:u w:val="single"/>
        </w:rPr>
      </w:pPr>
    </w:p>
    <w:p w14:paraId="7F00018C" w14:textId="77777777" w:rsidR="005072EB" w:rsidRPr="005B1D13" w:rsidRDefault="005072EB" w:rsidP="00CC3F95">
      <w:pPr>
        <w:spacing w:line="360" w:lineRule="auto"/>
        <w:rPr>
          <w:rFonts w:ascii="Garamond" w:eastAsia="Baskerville Old Face" w:hAnsi="Garamond" w:cs="Baskerville Old Face"/>
          <w:u w:val="single"/>
        </w:rPr>
      </w:pPr>
    </w:p>
    <w:p w14:paraId="3E485750" w14:textId="77777777" w:rsidR="005072EB" w:rsidRPr="005B1D13" w:rsidRDefault="005072EB" w:rsidP="00CC3F95">
      <w:pPr>
        <w:spacing w:line="360" w:lineRule="auto"/>
        <w:rPr>
          <w:rFonts w:ascii="Garamond" w:eastAsia="Baskerville Old Face" w:hAnsi="Garamond" w:cs="Baskerville Old Face"/>
          <w:u w:val="single"/>
        </w:rPr>
      </w:pPr>
    </w:p>
    <w:p w14:paraId="784A70D9" w14:textId="77777777" w:rsidR="005072EB" w:rsidRPr="005B1D13" w:rsidRDefault="005072EB" w:rsidP="00CC3F95">
      <w:pPr>
        <w:spacing w:line="360" w:lineRule="auto"/>
        <w:rPr>
          <w:rFonts w:ascii="Garamond" w:eastAsia="Baskerville Old Face" w:hAnsi="Garamond" w:cs="Baskerville Old Face"/>
          <w:u w:val="single"/>
        </w:rPr>
      </w:pPr>
    </w:p>
    <w:p w14:paraId="5AD83E66" w14:textId="77777777" w:rsidR="005072EB" w:rsidRPr="005B1D13" w:rsidRDefault="005072EB" w:rsidP="00CC3F95">
      <w:pPr>
        <w:spacing w:line="360" w:lineRule="auto"/>
        <w:rPr>
          <w:rFonts w:ascii="Garamond" w:eastAsia="Baskerville Old Face" w:hAnsi="Garamond" w:cs="Baskerville Old Face"/>
          <w:u w:val="single"/>
        </w:rPr>
      </w:pPr>
    </w:p>
    <w:p w14:paraId="34DEBBC7" w14:textId="77777777" w:rsidR="005072EB" w:rsidRPr="005B1D13" w:rsidRDefault="005072EB" w:rsidP="00CC3F95">
      <w:pPr>
        <w:spacing w:line="360" w:lineRule="auto"/>
        <w:rPr>
          <w:rFonts w:ascii="Garamond" w:eastAsia="Baskerville Old Face" w:hAnsi="Garamond" w:cs="Baskerville Old Face"/>
          <w:u w:val="single"/>
        </w:rPr>
      </w:pPr>
    </w:p>
    <w:p w14:paraId="5FD68A46" w14:textId="77777777" w:rsidR="005072EB" w:rsidRPr="005B1D13" w:rsidRDefault="005072EB" w:rsidP="00CC3F95">
      <w:pPr>
        <w:spacing w:line="360" w:lineRule="auto"/>
        <w:rPr>
          <w:rFonts w:ascii="Garamond" w:eastAsia="Baskerville Old Face" w:hAnsi="Garamond" w:cs="Baskerville Old Face"/>
          <w:u w:val="single"/>
        </w:rPr>
      </w:pPr>
    </w:p>
    <w:p w14:paraId="4483761F" w14:textId="77777777" w:rsidR="005072EB" w:rsidRPr="005B1D13" w:rsidRDefault="005072EB" w:rsidP="00CC3F95">
      <w:pPr>
        <w:spacing w:line="360" w:lineRule="auto"/>
        <w:rPr>
          <w:rFonts w:ascii="Garamond" w:eastAsia="Baskerville Old Face" w:hAnsi="Garamond" w:cs="Baskerville Old Face"/>
          <w:u w:val="single"/>
        </w:rPr>
      </w:pPr>
    </w:p>
    <w:p w14:paraId="0257632D" w14:textId="77777777" w:rsidR="005072EB" w:rsidRPr="000D6029" w:rsidRDefault="005072EB" w:rsidP="00CC3F95">
      <w:pPr>
        <w:spacing w:line="360" w:lineRule="auto"/>
        <w:rPr>
          <w:rFonts w:eastAsia="Baskerville Old Face" w:cs="Baskerville Old Face"/>
          <w:u w:val="single"/>
        </w:rPr>
      </w:pPr>
      <w:r w:rsidRPr="000D6029">
        <w:rPr>
          <w:noProof/>
        </w:rPr>
        <w:lastRenderedPageBreak/>
        <w:drawing>
          <wp:anchor distT="0" distB="0" distL="114300" distR="114300" simplePos="0" relativeHeight="251659264" behindDoc="1" locked="0" layoutInCell="1" allowOverlap="1" wp14:anchorId="542789AF" wp14:editId="0BD9DFC2">
            <wp:simplePos x="0" y="0"/>
            <wp:positionH relativeFrom="column">
              <wp:posOffset>46941</wp:posOffset>
            </wp:positionH>
            <wp:positionV relativeFrom="paragraph">
              <wp:posOffset>244</wp:posOffset>
            </wp:positionV>
            <wp:extent cx="5731510" cy="2473960"/>
            <wp:effectExtent l="0" t="0" r="0" b="2540"/>
            <wp:wrapTight wrapText="bothSides">
              <wp:wrapPolygon edited="0">
                <wp:start x="8663" y="0"/>
                <wp:lineTo x="0" y="1663"/>
                <wp:lineTo x="0" y="2439"/>
                <wp:lineTo x="13066" y="3548"/>
                <wp:lineTo x="13066" y="5322"/>
                <wp:lineTo x="0" y="6431"/>
                <wp:lineTo x="0" y="7097"/>
                <wp:lineTo x="5552" y="7097"/>
                <wp:lineTo x="2202" y="8205"/>
                <wp:lineTo x="766" y="8760"/>
                <wp:lineTo x="766" y="10645"/>
                <wp:lineTo x="0" y="11088"/>
                <wp:lineTo x="0" y="11754"/>
                <wp:lineTo x="766" y="12419"/>
                <wp:lineTo x="766" y="14193"/>
                <wp:lineTo x="0" y="15745"/>
                <wp:lineTo x="0" y="16411"/>
                <wp:lineTo x="766" y="17741"/>
                <wp:lineTo x="766" y="19515"/>
                <wp:lineTo x="335" y="20624"/>
                <wp:lineTo x="335" y="21068"/>
                <wp:lineTo x="1005" y="21511"/>
                <wp:lineTo x="1101" y="21511"/>
                <wp:lineTo x="21346" y="21511"/>
                <wp:lineTo x="21538" y="20957"/>
                <wp:lineTo x="21538" y="5433"/>
                <wp:lineTo x="13976" y="5322"/>
                <wp:lineTo x="13976" y="3548"/>
                <wp:lineTo x="21538" y="2218"/>
                <wp:lineTo x="21538" y="1885"/>
                <wp:lineTo x="574" y="1774"/>
                <wp:lineTo x="13114" y="776"/>
                <wp:lineTo x="13258" y="0"/>
                <wp:lineTo x="8902" y="0"/>
                <wp:lineTo x="8663"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31510" cy="2473960"/>
                    </a:xfrm>
                    <a:prstGeom prst="rect">
                      <a:avLst/>
                    </a:prstGeom>
                  </pic:spPr>
                </pic:pic>
              </a:graphicData>
            </a:graphic>
            <wp14:sizeRelH relativeFrom="margin">
              <wp14:pctWidth>0</wp14:pctWidth>
            </wp14:sizeRelH>
            <wp14:sizeRelV relativeFrom="margin">
              <wp14:pctHeight>0</wp14:pctHeight>
            </wp14:sizeRelV>
          </wp:anchor>
        </w:drawing>
      </w:r>
    </w:p>
    <w:p w14:paraId="6D8455A4" w14:textId="77777777" w:rsidR="005072EB" w:rsidRPr="000D6029" w:rsidRDefault="005072EB" w:rsidP="00CC3F95">
      <w:pPr>
        <w:spacing w:line="360" w:lineRule="auto"/>
        <w:rPr>
          <w:rFonts w:eastAsia="Baskerville Old Face" w:cs="Baskerville Old Face"/>
        </w:rPr>
      </w:pPr>
    </w:p>
    <w:p w14:paraId="08D65970" w14:textId="77777777" w:rsidR="005072EB" w:rsidRPr="005072EB" w:rsidRDefault="005072EB" w:rsidP="005072EB">
      <w:pPr>
        <w:spacing w:line="360" w:lineRule="auto"/>
        <w:rPr>
          <w:rFonts w:eastAsia="Baskerville Old Face" w:cs="Baskerville Old Face"/>
        </w:rPr>
      </w:pPr>
    </w:p>
    <w:p w14:paraId="2231D49D" w14:textId="77777777" w:rsidR="005072EB" w:rsidRPr="00D9275F" w:rsidRDefault="005072EB" w:rsidP="00CC3F95">
      <w:pPr>
        <w:ind w:right="678"/>
        <w:rPr>
          <w:rFonts w:ascii="Garamond" w:eastAsia="Garamond" w:hAnsi="Garamond" w:cs="Garamond"/>
          <w:color w:val="0F243E"/>
        </w:rPr>
      </w:pPr>
      <w:r w:rsidRPr="1B5476D9">
        <w:rPr>
          <w:rFonts w:ascii="Garamond" w:eastAsia="Garamond" w:hAnsi="Garamond" w:cs="Garamond"/>
          <w:color w:val="0F243E"/>
        </w:rPr>
        <w:t>2. By plotting Cuba’s annual production of sugar, it can be seen that the introduction of the Guevarist model did not severely jeopardise the amount cultivated – its flaws may be measured by other means.</w:t>
      </w:r>
    </w:p>
    <w:p w14:paraId="6CB643FA" w14:textId="77777777" w:rsidR="005072EB" w:rsidRPr="00DB523A" w:rsidRDefault="005072EB" w:rsidP="00CC3F95">
      <w:pPr>
        <w:pStyle w:val="FootnoteText"/>
        <w:rPr>
          <w:rFonts w:ascii="Garamond,Times New Roman" w:eastAsia="Garamond,Times New Roman" w:hAnsi="Garamond,Times New Roman" w:cs="Garamond,Times New Roman"/>
          <w:sz w:val="22"/>
          <w:szCs w:val="22"/>
        </w:rPr>
      </w:pPr>
      <w:r w:rsidRPr="1B5476D9">
        <w:rPr>
          <w:rFonts w:ascii="Garamond" w:eastAsia="Garamond" w:hAnsi="Garamond" w:cs="Garamond"/>
          <w:color w:val="0F243E"/>
          <w:sz w:val="22"/>
          <w:szCs w:val="22"/>
        </w:rPr>
        <w:t xml:space="preserve">Source: </w:t>
      </w:r>
      <w:r w:rsidRPr="1B5476D9">
        <w:rPr>
          <w:rFonts w:ascii="Garamond" w:eastAsia="Garamond" w:hAnsi="Garamond" w:cs="Garamond"/>
          <w:sz w:val="22"/>
          <w:szCs w:val="22"/>
        </w:rPr>
        <w:t xml:space="preserve">Forster, Nancy, ‘Cuba’s Agrarian Productivity’ in I. L. Horowitz, ed., </w:t>
      </w:r>
      <w:r w:rsidRPr="1B5476D9">
        <w:rPr>
          <w:rFonts w:ascii="Garamond" w:eastAsia="Garamond" w:hAnsi="Garamond" w:cs="Garamond"/>
          <w:i/>
          <w:iCs/>
          <w:sz w:val="22"/>
          <w:szCs w:val="22"/>
        </w:rPr>
        <w:t>Cuban Communism</w:t>
      </w:r>
      <w:r w:rsidRPr="1B5476D9">
        <w:rPr>
          <w:rFonts w:ascii="Garamond" w:eastAsia="Garamond" w:hAnsi="Garamond" w:cs="Garamond"/>
          <w:sz w:val="22"/>
          <w:szCs w:val="22"/>
        </w:rPr>
        <w:t>, 8</w:t>
      </w:r>
      <w:r w:rsidRPr="1B5476D9">
        <w:rPr>
          <w:rFonts w:ascii="Garamond" w:eastAsia="Garamond" w:hAnsi="Garamond" w:cs="Garamond"/>
          <w:sz w:val="22"/>
          <w:szCs w:val="22"/>
          <w:vertAlign w:val="superscript"/>
        </w:rPr>
        <w:t>th</w:t>
      </w:r>
      <w:r w:rsidRPr="1B5476D9">
        <w:rPr>
          <w:rFonts w:ascii="Garamond" w:eastAsia="Garamond" w:hAnsi="Garamond" w:cs="Garamond"/>
          <w:sz w:val="22"/>
          <w:szCs w:val="22"/>
        </w:rPr>
        <w:t xml:space="preserve"> Edition, Transaction Publishers (1995)</w:t>
      </w:r>
    </w:p>
    <w:p w14:paraId="275ACFD3" w14:textId="77777777" w:rsidR="005072EB" w:rsidRPr="00D9275F" w:rsidRDefault="005072EB" w:rsidP="00CC3F95">
      <w:pPr>
        <w:ind w:left="567" w:right="678"/>
        <w:rPr>
          <w:rFonts w:ascii="Garamond" w:hAnsi="Garamond"/>
          <w:color w:val="0F243E"/>
        </w:rPr>
      </w:pPr>
    </w:p>
    <w:p w14:paraId="61E38AD2" w14:textId="77777777" w:rsidR="00CA1F5B" w:rsidRPr="005B1D13" w:rsidRDefault="00CA1F5B" w:rsidP="00CC3F95">
      <w:pPr>
        <w:rPr>
          <w:rFonts w:ascii="Garamond" w:hAnsi="Garamond"/>
        </w:rPr>
      </w:pPr>
    </w:p>
    <w:p w14:paraId="71518AD4" w14:textId="77777777" w:rsidR="000A68F6" w:rsidRDefault="000A68F6"/>
    <w:sectPr w:rsidR="000A68F6">
      <w:footerReference w:type="even" r:id="rId22"/>
      <w:footerReference w:type="default" r:id="rId23"/>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75DF89" w14:textId="77777777" w:rsidR="00DC7033" w:rsidRDefault="00DC7033" w:rsidP="000A68F6">
      <w:r>
        <w:separator/>
      </w:r>
    </w:p>
  </w:endnote>
  <w:endnote w:type="continuationSeparator" w:id="0">
    <w:p w14:paraId="0F52A366" w14:textId="77777777" w:rsidR="00DC7033" w:rsidRDefault="00DC7033" w:rsidP="000A68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Garamond">
    <w:panose1 w:val="02020404030301010803"/>
    <w:charset w:val="00"/>
    <w:family w:val="roman"/>
    <w:pitch w:val="variable"/>
    <w:sig w:usb0="00000287" w:usb1="00000000" w:usb2="00000000" w:usb3="00000000" w:csb0="0000009F" w:csb1="00000000"/>
  </w:font>
  <w:font w:name="Baskerville">
    <w:charset w:val="B1"/>
    <w:family w:val="roman"/>
    <w:pitch w:val="variable"/>
    <w:sig w:usb0="80000863" w:usb1="00000000" w:usb2="00000000" w:usb3="00000000" w:csb0="000001FB" w:csb1="00000000"/>
  </w:font>
  <w:font w:name="Garamond,Baskerville Old Face">
    <w:altName w:val="Arial"/>
    <w:panose1 w:val="00000000000000000000"/>
    <w:charset w:val="00"/>
    <w:family w:val="roman"/>
    <w:notTrueType/>
    <w:pitch w:val="default"/>
  </w:font>
  <w:font w:name="Garamond,Baskerville Old Face,B">
    <w:altName w:val="Arial"/>
    <w:panose1 w:val="00000000000000000000"/>
    <w:charset w:val="00"/>
    <w:family w:val="roman"/>
    <w:notTrueType/>
    <w:pitch w:val="default"/>
  </w:font>
  <w:font w:name="Arial,Times New Roman">
    <w:altName w:val="Arial"/>
    <w:charset w:val="00"/>
    <w:family w:val="roman"/>
    <w:pitch w:val="default"/>
  </w:font>
  <w:font w:name="Baskerville Old Face">
    <w:panose1 w:val="02020602080505020303"/>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aramond,Times New Roman">
    <w:altName w:val="Arial"/>
    <w:panose1 w:val="00000000000000000000"/>
    <w:charset w:val="00"/>
    <w:family w:val="roman"/>
    <w:notTrueType/>
    <w:pitch w:val="default"/>
  </w:font>
  <w:font w:name="Garamond,Arial,Times New Roman">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254010354"/>
      <w:docPartObj>
        <w:docPartGallery w:val="Page Numbers (Bottom of Page)"/>
        <w:docPartUnique/>
      </w:docPartObj>
    </w:sdtPr>
    <w:sdtEndPr>
      <w:rPr>
        <w:rStyle w:val="PageNumber"/>
      </w:rPr>
    </w:sdtEndPr>
    <w:sdtContent>
      <w:p w14:paraId="1CBC7DDC" w14:textId="3EEECC9F" w:rsidR="00AD50B5" w:rsidRDefault="00AD50B5" w:rsidP="00C12D3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2F23036" w14:textId="77777777" w:rsidR="00AD50B5" w:rsidRDefault="00AD50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Fonts w:ascii="Garamond" w:hAnsi="Garamond"/>
      </w:rPr>
      <w:id w:val="-1705554230"/>
      <w:docPartObj>
        <w:docPartGallery w:val="Page Numbers (Bottom of Page)"/>
        <w:docPartUnique/>
      </w:docPartObj>
    </w:sdtPr>
    <w:sdtEndPr>
      <w:rPr>
        <w:rStyle w:val="PageNumber"/>
      </w:rPr>
    </w:sdtEndPr>
    <w:sdtContent>
      <w:p w14:paraId="3779C9AB" w14:textId="758397DA" w:rsidR="00AD50B5" w:rsidRPr="00787D13" w:rsidRDefault="00AD50B5" w:rsidP="00C12D3B">
        <w:pPr>
          <w:pStyle w:val="Footer"/>
          <w:framePr w:wrap="none" w:vAnchor="text" w:hAnchor="margin" w:xAlign="center" w:y="1"/>
          <w:rPr>
            <w:rStyle w:val="PageNumber"/>
            <w:rFonts w:ascii="Garamond" w:hAnsi="Garamond"/>
          </w:rPr>
        </w:pPr>
        <w:r w:rsidRPr="00787D13">
          <w:rPr>
            <w:rStyle w:val="PageNumber"/>
            <w:rFonts w:ascii="Garamond" w:hAnsi="Garamond"/>
          </w:rPr>
          <w:fldChar w:fldCharType="begin"/>
        </w:r>
        <w:r w:rsidRPr="00787D13">
          <w:rPr>
            <w:rStyle w:val="PageNumber"/>
            <w:rFonts w:ascii="Garamond" w:hAnsi="Garamond"/>
          </w:rPr>
          <w:instrText xml:space="preserve"> PAGE </w:instrText>
        </w:r>
        <w:r w:rsidRPr="00787D13">
          <w:rPr>
            <w:rStyle w:val="PageNumber"/>
            <w:rFonts w:ascii="Garamond" w:hAnsi="Garamond"/>
          </w:rPr>
          <w:fldChar w:fldCharType="separate"/>
        </w:r>
        <w:r w:rsidR="00324806">
          <w:rPr>
            <w:rStyle w:val="PageNumber"/>
            <w:rFonts w:ascii="Garamond" w:hAnsi="Garamond"/>
            <w:noProof/>
          </w:rPr>
          <w:t>2</w:t>
        </w:r>
        <w:r w:rsidRPr="00787D13">
          <w:rPr>
            <w:rStyle w:val="PageNumber"/>
            <w:rFonts w:ascii="Garamond" w:hAnsi="Garamond"/>
          </w:rPr>
          <w:fldChar w:fldCharType="end"/>
        </w:r>
      </w:p>
    </w:sdtContent>
  </w:sdt>
  <w:p w14:paraId="399C283F" w14:textId="77777777" w:rsidR="00AD50B5" w:rsidRDefault="00AD50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5B403B" w14:textId="77777777" w:rsidR="00DC7033" w:rsidRDefault="00DC7033" w:rsidP="000A68F6">
      <w:r>
        <w:separator/>
      </w:r>
    </w:p>
  </w:footnote>
  <w:footnote w:type="continuationSeparator" w:id="0">
    <w:p w14:paraId="65015DA7" w14:textId="77777777" w:rsidR="00DC7033" w:rsidRDefault="00DC7033" w:rsidP="000A68F6">
      <w:r>
        <w:continuationSeparator/>
      </w:r>
    </w:p>
  </w:footnote>
  <w:footnote w:id="1">
    <w:p w14:paraId="48049EC9" w14:textId="77777777" w:rsidR="000A68F6" w:rsidRPr="0002625D" w:rsidRDefault="000A68F6">
      <w:pPr>
        <w:pStyle w:val="FootnoteText"/>
        <w:rPr>
          <w:rFonts w:ascii="Garamond" w:hAnsi="Garamond" w:cs="Times New Roman"/>
        </w:rPr>
      </w:pPr>
      <w:r w:rsidRPr="0002625D">
        <w:rPr>
          <w:rStyle w:val="FootnoteReference"/>
          <w:rFonts w:ascii="Garamond" w:hAnsi="Garamond" w:cs="Times New Roman"/>
        </w:rPr>
        <w:footnoteRef/>
      </w:r>
      <w:r w:rsidRPr="0002625D">
        <w:rPr>
          <w:rFonts w:ascii="Garamond" w:hAnsi="Garamond" w:cs="Times New Roman"/>
        </w:rPr>
        <w:t xml:space="preserve"> Thomas, Hugh, </w:t>
      </w:r>
      <w:r w:rsidRPr="0002625D">
        <w:rPr>
          <w:rFonts w:ascii="Garamond" w:hAnsi="Garamond" w:cs="Times New Roman"/>
          <w:i/>
        </w:rPr>
        <w:t>Cuba: A History</w:t>
      </w:r>
      <w:r w:rsidRPr="0002625D">
        <w:rPr>
          <w:rFonts w:ascii="Garamond" w:hAnsi="Garamond" w:cs="Times New Roman"/>
        </w:rPr>
        <w:t>, Penguin Books (2010), p. 546</w:t>
      </w:r>
    </w:p>
  </w:footnote>
  <w:footnote w:id="2">
    <w:p w14:paraId="744C63A7" w14:textId="77777777" w:rsidR="000A68F6" w:rsidRPr="0002625D" w:rsidRDefault="000A68F6">
      <w:pPr>
        <w:pStyle w:val="FootnoteText"/>
        <w:rPr>
          <w:rFonts w:ascii="Garamond" w:hAnsi="Garamond" w:cs="Times New Roman"/>
        </w:rPr>
      </w:pPr>
      <w:r w:rsidRPr="0002625D">
        <w:rPr>
          <w:rStyle w:val="FootnoteReference"/>
          <w:rFonts w:ascii="Garamond" w:hAnsi="Garamond" w:cs="Times New Roman"/>
        </w:rPr>
        <w:footnoteRef/>
      </w:r>
      <w:r w:rsidRPr="0002625D">
        <w:rPr>
          <w:rFonts w:ascii="Garamond" w:hAnsi="Garamond" w:cs="Times New Roman"/>
        </w:rPr>
        <w:t xml:space="preserve"> The official manifesto of 26</w:t>
      </w:r>
      <w:r w:rsidRPr="0002625D">
        <w:rPr>
          <w:rFonts w:ascii="Garamond" w:hAnsi="Garamond" w:cs="Times New Roman"/>
          <w:vertAlign w:val="superscript"/>
        </w:rPr>
        <w:t>th</w:t>
      </w:r>
      <w:r w:rsidRPr="0002625D">
        <w:rPr>
          <w:rFonts w:ascii="Garamond" w:hAnsi="Garamond" w:cs="Times New Roman"/>
        </w:rPr>
        <w:t xml:space="preserve"> July Movement (1957) rejected the “economic domination” and hegemony of the USA, favouring an “independent economy” controlled by the Cuban people, which would satisfy his nationalistic preferences – hence the rebellion was rooted in economic discontentment.</w:t>
      </w:r>
    </w:p>
  </w:footnote>
  <w:footnote w:id="3">
    <w:p w14:paraId="3197E751" w14:textId="77777777" w:rsidR="000A68F6" w:rsidRPr="00373847" w:rsidRDefault="000A68F6" w:rsidP="00DF1DED">
      <w:pPr>
        <w:rPr>
          <w:rFonts w:ascii="Garamond" w:hAnsi="Garamond"/>
          <w:color w:val="222222"/>
          <w:sz w:val="20"/>
          <w:szCs w:val="20"/>
        </w:rPr>
      </w:pPr>
      <w:r w:rsidRPr="00373847">
        <w:rPr>
          <w:rStyle w:val="FootnoteReference"/>
          <w:rFonts w:ascii="Garamond" w:eastAsia="Calibri" w:hAnsi="Garamond"/>
          <w:sz w:val="20"/>
          <w:szCs w:val="20"/>
        </w:rPr>
        <w:footnoteRef/>
      </w:r>
      <w:r w:rsidRPr="00373847">
        <w:rPr>
          <w:rFonts w:ascii="Garamond" w:eastAsia="Calibri" w:hAnsi="Garamond"/>
          <w:sz w:val="20"/>
          <w:szCs w:val="20"/>
        </w:rPr>
        <w:t xml:space="preserve"> </w:t>
      </w:r>
      <w:r w:rsidRPr="00373847">
        <w:rPr>
          <w:rFonts w:ascii="Garamond" w:hAnsi="Garamond"/>
          <w:sz w:val="20"/>
          <w:szCs w:val="20"/>
        </w:rPr>
        <w:t>Bianchi, Andrés,</w:t>
      </w:r>
      <w:r w:rsidRPr="00373847">
        <w:rPr>
          <w:rFonts w:ascii="Garamond" w:eastAsia="Arial,Times New Roman" w:hAnsi="Garamond"/>
          <w:color w:val="222222"/>
          <w:sz w:val="20"/>
          <w:szCs w:val="20"/>
        </w:rPr>
        <w:t xml:space="preserve"> ‘</w:t>
      </w:r>
      <w:r w:rsidRPr="00373847">
        <w:rPr>
          <w:rFonts w:ascii="Garamond" w:hAnsi="Garamond"/>
          <w:color w:val="222222"/>
          <w:sz w:val="20"/>
          <w:szCs w:val="20"/>
        </w:rPr>
        <w:t xml:space="preserve">Agriculture: Pre Revolutionary Background’ in D. Seers, ed., </w:t>
      </w:r>
      <w:r w:rsidRPr="00873414">
        <w:rPr>
          <w:rFonts w:ascii="Garamond" w:hAnsi="Garamond"/>
          <w:i/>
          <w:color w:val="222222"/>
          <w:sz w:val="20"/>
          <w:szCs w:val="20"/>
        </w:rPr>
        <w:t>Cuba: The Economic and Social Revolution</w:t>
      </w:r>
      <w:r w:rsidRPr="00373847">
        <w:rPr>
          <w:rFonts w:ascii="Garamond" w:hAnsi="Garamond"/>
          <w:color w:val="222222"/>
          <w:sz w:val="20"/>
          <w:szCs w:val="20"/>
        </w:rPr>
        <w:t>, University of North Carolina Press (1964), p. 67</w:t>
      </w:r>
    </w:p>
  </w:footnote>
  <w:footnote w:id="4">
    <w:p w14:paraId="2B91ECC3" w14:textId="77777777" w:rsidR="000A68F6" w:rsidRPr="00373847" w:rsidRDefault="000A68F6">
      <w:pPr>
        <w:pStyle w:val="FootnoteText"/>
        <w:rPr>
          <w:rFonts w:ascii="Garamond" w:hAnsi="Garamond" w:cs="Times New Roman"/>
        </w:rPr>
      </w:pPr>
      <w:r w:rsidRPr="00373847">
        <w:rPr>
          <w:rStyle w:val="FootnoteReference"/>
          <w:rFonts w:ascii="Garamond" w:hAnsi="Garamond" w:cs="Times New Roman"/>
        </w:rPr>
        <w:footnoteRef/>
      </w:r>
      <w:r w:rsidRPr="00373847">
        <w:rPr>
          <w:rFonts w:ascii="Garamond" w:hAnsi="Garamond" w:cs="Times New Roman"/>
        </w:rPr>
        <w:t xml:space="preserve"> Pollitt, Brian H., ‘Crisis and Reform in Cuba’s Sugar Economy’ in A. R. M. Ritter, ed., </w:t>
      </w:r>
      <w:r w:rsidRPr="00873414">
        <w:rPr>
          <w:rFonts w:ascii="Garamond" w:hAnsi="Garamond" w:cs="Times New Roman"/>
          <w:i/>
        </w:rPr>
        <w:t>The Cuban Economy</w:t>
      </w:r>
      <w:r w:rsidRPr="00373847">
        <w:rPr>
          <w:rFonts w:ascii="Garamond" w:hAnsi="Garamond" w:cs="Times New Roman"/>
        </w:rPr>
        <w:t>, University of Pittsburgh Press (2004), p. 71</w:t>
      </w:r>
    </w:p>
  </w:footnote>
  <w:footnote w:id="5">
    <w:p w14:paraId="1834C29E" w14:textId="77777777" w:rsidR="000A68F6" w:rsidRPr="00373847" w:rsidRDefault="000A68F6">
      <w:pPr>
        <w:pStyle w:val="FootnoteText"/>
        <w:rPr>
          <w:rFonts w:ascii="Garamond" w:hAnsi="Garamond" w:cs="Times New Roman"/>
        </w:rPr>
      </w:pPr>
      <w:r w:rsidRPr="00373847">
        <w:rPr>
          <w:rStyle w:val="FootnoteReference"/>
          <w:rFonts w:ascii="Garamond" w:hAnsi="Garamond" w:cs="Times New Roman"/>
        </w:rPr>
        <w:footnoteRef/>
      </w:r>
      <w:r w:rsidRPr="00373847">
        <w:rPr>
          <w:rFonts w:ascii="Garamond" w:hAnsi="Garamond" w:cs="Times New Roman"/>
        </w:rPr>
        <w:t xml:space="preserve"> LeoGrande, William M., and Julie M. Thomas, ‘Cuba’s Quest for Economic Independence’. </w:t>
      </w:r>
      <w:r w:rsidRPr="00873414">
        <w:rPr>
          <w:rFonts w:ascii="Garamond" w:hAnsi="Garamond" w:cs="Times New Roman"/>
          <w:i/>
        </w:rPr>
        <w:t>Journal of Latin American Studies</w:t>
      </w:r>
      <w:r w:rsidRPr="00373847">
        <w:rPr>
          <w:rFonts w:ascii="Garamond" w:hAnsi="Garamond" w:cs="Times New Roman"/>
        </w:rPr>
        <w:t xml:space="preserve"> 34.2 (2002), p. 326 Available at: </w:t>
      </w:r>
      <w:hyperlink r:id="rId1" w:history="1">
        <w:r w:rsidRPr="00373847">
          <w:rPr>
            <w:rStyle w:val="Hyperlink"/>
            <w:rFonts w:ascii="Garamond" w:hAnsi="Garamond" w:cs="Times New Roman"/>
          </w:rPr>
          <w:t>https://www.researchgate.net/profile/William_Leogrande/publication/231965406_Cuba's_Quest_for_Economic_Independence/links/56bb42c308ae0908186805d1.pdf</w:t>
        </w:r>
      </w:hyperlink>
      <w:r w:rsidRPr="00373847">
        <w:rPr>
          <w:rFonts w:ascii="Garamond" w:hAnsi="Garamond" w:cs="Times New Roman"/>
        </w:rPr>
        <w:t xml:space="preserve"> </w:t>
      </w:r>
    </w:p>
  </w:footnote>
  <w:footnote w:id="6">
    <w:p w14:paraId="3B1AEFB4" w14:textId="77777777" w:rsidR="000A68F6" w:rsidRPr="00373847" w:rsidRDefault="000A68F6">
      <w:pPr>
        <w:pStyle w:val="FootnoteText"/>
        <w:rPr>
          <w:rFonts w:ascii="Garamond" w:hAnsi="Garamond" w:cs="Times New Roman"/>
        </w:rPr>
      </w:pPr>
      <w:r w:rsidRPr="00373847">
        <w:rPr>
          <w:rStyle w:val="FootnoteReference"/>
          <w:rFonts w:ascii="Garamond" w:hAnsi="Garamond" w:cs="Times New Roman"/>
        </w:rPr>
        <w:footnoteRef/>
      </w:r>
      <w:r w:rsidRPr="00373847">
        <w:rPr>
          <w:rFonts w:ascii="Garamond" w:hAnsi="Garamond" w:cs="Times New Roman"/>
        </w:rPr>
        <w:t xml:space="preserve"> Bianchi, Andrés, ‘Agriculture: Post-Revolutionary Developments’ in D. Seers, ed., </w:t>
      </w:r>
      <w:r w:rsidRPr="00873414">
        <w:rPr>
          <w:rFonts w:ascii="Garamond" w:hAnsi="Garamond" w:cs="Times New Roman"/>
          <w:i/>
        </w:rPr>
        <w:t>Cuba: The Economic and Social Revolution</w:t>
      </w:r>
      <w:r w:rsidRPr="00373847">
        <w:rPr>
          <w:rFonts w:ascii="Garamond" w:hAnsi="Garamond" w:cs="Times New Roman"/>
        </w:rPr>
        <w:t>, University of North Carolina Press (1964), p. 133</w:t>
      </w:r>
    </w:p>
  </w:footnote>
  <w:footnote w:id="7">
    <w:p w14:paraId="136AB119" w14:textId="77777777" w:rsidR="000A68F6" w:rsidRPr="00373847" w:rsidRDefault="000A68F6">
      <w:pPr>
        <w:pStyle w:val="FootnoteText"/>
        <w:rPr>
          <w:rFonts w:ascii="Garamond" w:hAnsi="Garamond" w:cs="Times New Roman"/>
        </w:rPr>
      </w:pPr>
      <w:r w:rsidRPr="00373847">
        <w:rPr>
          <w:rStyle w:val="FootnoteReference"/>
          <w:rFonts w:ascii="Garamond" w:hAnsi="Garamond" w:cs="Times New Roman"/>
        </w:rPr>
        <w:footnoteRef/>
      </w:r>
      <w:r w:rsidRPr="00373847">
        <w:rPr>
          <w:rFonts w:ascii="Garamond" w:hAnsi="Garamond" w:cs="Times New Roman"/>
        </w:rPr>
        <w:t xml:space="preserve"> Ibid. p. 122</w:t>
      </w:r>
    </w:p>
  </w:footnote>
  <w:footnote w:id="8">
    <w:p w14:paraId="7F18C45A" w14:textId="77777777" w:rsidR="000A68F6" w:rsidRPr="00373847" w:rsidRDefault="000A68F6">
      <w:pPr>
        <w:pStyle w:val="FootnoteText"/>
        <w:rPr>
          <w:rFonts w:ascii="Garamond" w:hAnsi="Garamond" w:cs="Times New Roman"/>
        </w:rPr>
      </w:pPr>
      <w:r w:rsidRPr="00373847">
        <w:rPr>
          <w:rStyle w:val="FootnoteReference"/>
          <w:rFonts w:ascii="Garamond" w:hAnsi="Garamond" w:cs="Times New Roman"/>
        </w:rPr>
        <w:footnoteRef/>
      </w:r>
      <w:r w:rsidRPr="00373847">
        <w:rPr>
          <w:rFonts w:ascii="Garamond" w:hAnsi="Garamond" w:cs="Times New Roman"/>
        </w:rPr>
        <w:t xml:space="preserve"> Forster, Nancy, ‘Cuba’s Agrarian Productivity’ in I. L. Horowitz, ed., </w:t>
      </w:r>
      <w:r w:rsidRPr="00873414">
        <w:rPr>
          <w:rFonts w:ascii="Garamond" w:hAnsi="Garamond" w:cs="Times New Roman"/>
          <w:i/>
        </w:rPr>
        <w:t>Cuban Communism</w:t>
      </w:r>
      <w:r w:rsidRPr="00373847">
        <w:rPr>
          <w:rFonts w:ascii="Garamond" w:hAnsi="Garamond" w:cs="Times New Roman"/>
        </w:rPr>
        <w:t>, 8</w:t>
      </w:r>
      <w:r w:rsidRPr="00373847">
        <w:rPr>
          <w:rFonts w:ascii="Garamond" w:hAnsi="Garamond" w:cs="Times New Roman"/>
          <w:vertAlign w:val="superscript"/>
        </w:rPr>
        <w:t>th</w:t>
      </w:r>
      <w:r w:rsidRPr="00373847">
        <w:rPr>
          <w:rFonts w:ascii="Garamond" w:hAnsi="Garamond" w:cs="Times New Roman"/>
        </w:rPr>
        <w:t xml:space="preserve"> Edition, Transaction Publishers (1995), p. 224-226</w:t>
      </w:r>
    </w:p>
  </w:footnote>
  <w:footnote w:id="9">
    <w:p w14:paraId="74319A57" w14:textId="77777777" w:rsidR="000A68F6" w:rsidRPr="0002625D" w:rsidRDefault="000A68F6">
      <w:pPr>
        <w:pStyle w:val="FootnoteText"/>
        <w:rPr>
          <w:rFonts w:ascii="Garamond" w:hAnsi="Garamond" w:cs="Times New Roman"/>
        </w:rPr>
      </w:pPr>
      <w:r w:rsidRPr="0002625D">
        <w:rPr>
          <w:rStyle w:val="FootnoteReference"/>
          <w:rFonts w:ascii="Garamond" w:hAnsi="Garamond" w:cs="Times New Roman"/>
        </w:rPr>
        <w:footnoteRef/>
      </w:r>
      <w:r w:rsidRPr="0002625D">
        <w:rPr>
          <w:rFonts w:ascii="Garamond" w:hAnsi="Garamond" w:cs="Times New Roman"/>
        </w:rPr>
        <w:t xml:space="preserve"> Ibid. p. 224-226</w:t>
      </w:r>
    </w:p>
  </w:footnote>
  <w:footnote w:id="10">
    <w:p w14:paraId="2DFB004E" w14:textId="77777777" w:rsidR="000A68F6" w:rsidRPr="0002625D" w:rsidRDefault="000A68F6">
      <w:pPr>
        <w:pStyle w:val="FootnoteText"/>
        <w:rPr>
          <w:rFonts w:ascii="Garamond" w:hAnsi="Garamond" w:cs="Times New Roman"/>
        </w:rPr>
      </w:pPr>
      <w:r w:rsidRPr="0002625D">
        <w:rPr>
          <w:rStyle w:val="FootnoteReference"/>
          <w:rFonts w:ascii="Garamond" w:hAnsi="Garamond" w:cs="Times New Roman"/>
        </w:rPr>
        <w:footnoteRef/>
      </w:r>
      <w:r w:rsidRPr="0002625D">
        <w:rPr>
          <w:rFonts w:ascii="Garamond" w:hAnsi="Garamond" w:cs="Times New Roman"/>
        </w:rPr>
        <w:t xml:space="preserve"> LeoGrande, William M., and Julie M. Thomas, ‘Cuba’s Quest for Economic Independence’. </w:t>
      </w:r>
      <w:r w:rsidRPr="0002625D">
        <w:rPr>
          <w:rFonts w:ascii="Garamond" w:hAnsi="Garamond" w:cs="Times New Roman"/>
          <w:i/>
        </w:rPr>
        <w:t>Journal of Latin American Studies</w:t>
      </w:r>
      <w:r w:rsidRPr="0002625D">
        <w:rPr>
          <w:rFonts w:ascii="Garamond" w:hAnsi="Garamond" w:cs="Times New Roman"/>
        </w:rPr>
        <w:t xml:space="preserve"> 34.2 (2002), p. 327 Available at: </w:t>
      </w:r>
      <w:hyperlink r:id="rId2" w:history="1">
        <w:r w:rsidRPr="0002625D">
          <w:rPr>
            <w:rStyle w:val="Hyperlink"/>
            <w:rFonts w:ascii="Garamond" w:hAnsi="Garamond" w:cs="Times New Roman"/>
          </w:rPr>
          <w:t>https://www.researchgate.net/profile/William_Leogrande/publication/231965406_Cuba's_Quest_for_Economic_Independence/links/56bb42c308ae0908186805d1.pdf</w:t>
        </w:r>
      </w:hyperlink>
      <w:r w:rsidRPr="0002625D">
        <w:rPr>
          <w:rFonts w:ascii="Garamond" w:hAnsi="Garamond" w:cs="Times New Roman"/>
        </w:rPr>
        <w:t xml:space="preserve"> </w:t>
      </w:r>
    </w:p>
  </w:footnote>
  <w:footnote w:id="11">
    <w:p w14:paraId="11477E31" w14:textId="77777777" w:rsidR="000A68F6" w:rsidRPr="0002625D" w:rsidRDefault="000A68F6">
      <w:pPr>
        <w:pStyle w:val="FootnoteText"/>
        <w:rPr>
          <w:rFonts w:ascii="Garamond" w:hAnsi="Garamond" w:cs="Times New Roman"/>
        </w:rPr>
      </w:pPr>
      <w:r w:rsidRPr="0002625D">
        <w:rPr>
          <w:rStyle w:val="FootnoteReference"/>
          <w:rFonts w:ascii="Garamond" w:hAnsi="Garamond" w:cs="Times New Roman"/>
        </w:rPr>
        <w:footnoteRef/>
      </w:r>
      <w:r w:rsidRPr="0002625D">
        <w:rPr>
          <w:rFonts w:ascii="Garamond" w:hAnsi="Garamond" w:cs="Times New Roman"/>
        </w:rPr>
        <w:t xml:space="preserve"> Mesa-Lago, Carmelo, ‘Economic and Ideological Cycles in Cuba: Policy and Performance, 1959 – 2002’ in A. R. M. Ritter, ed., </w:t>
      </w:r>
      <w:r w:rsidRPr="0002625D">
        <w:rPr>
          <w:rFonts w:ascii="Garamond" w:hAnsi="Garamond" w:cs="Times New Roman"/>
          <w:i/>
        </w:rPr>
        <w:t>The Cuban Economy</w:t>
      </w:r>
      <w:r w:rsidRPr="0002625D">
        <w:rPr>
          <w:rFonts w:ascii="Garamond" w:hAnsi="Garamond" w:cs="Times New Roman"/>
        </w:rPr>
        <w:t>, University of Pittsburgh Press (2004), p. 31</w:t>
      </w:r>
    </w:p>
  </w:footnote>
  <w:footnote w:id="12">
    <w:p w14:paraId="7EC0C6B5" w14:textId="77777777" w:rsidR="000A68F6" w:rsidRPr="0002625D" w:rsidRDefault="000A68F6">
      <w:pPr>
        <w:pStyle w:val="FootnoteText"/>
        <w:rPr>
          <w:rFonts w:ascii="Garamond" w:hAnsi="Garamond" w:cs="Times New Roman"/>
        </w:rPr>
      </w:pPr>
      <w:r w:rsidRPr="0002625D">
        <w:rPr>
          <w:rStyle w:val="FootnoteReference"/>
          <w:rFonts w:ascii="Garamond" w:hAnsi="Garamond" w:cs="Times New Roman"/>
        </w:rPr>
        <w:footnoteRef/>
      </w:r>
      <w:r w:rsidRPr="0002625D">
        <w:rPr>
          <w:rFonts w:ascii="Garamond" w:hAnsi="Garamond" w:cs="Times New Roman"/>
        </w:rPr>
        <w:t xml:space="preserve"> Forster, Nancy, ‘Cuba’s Agrarian Productivity’ in I. L. Horowitz, ed., </w:t>
      </w:r>
      <w:r w:rsidRPr="0002625D">
        <w:rPr>
          <w:rFonts w:ascii="Garamond" w:hAnsi="Garamond" w:cs="Times New Roman"/>
          <w:i/>
        </w:rPr>
        <w:t>Cuban Communism</w:t>
      </w:r>
      <w:r w:rsidRPr="0002625D">
        <w:rPr>
          <w:rFonts w:ascii="Garamond" w:hAnsi="Garamond" w:cs="Times New Roman"/>
        </w:rPr>
        <w:t>, 8</w:t>
      </w:r>
      <w:r w:rsidRPr="0002625D">
        <w:rPr>
          <w:rFonts w:ascii="Garamond" w:hAnsi="Garamond" w:cs="Times New Roman"/>
          <w:vertAlign w:val="superscript"/>
        </w:rPr>
        <w:t>th</w:t>
      </w:r>
      <w:r w:rsidRPr="0002625D">
        <w:rPr>
          <w:rFonts w:ascii="Garamond" w:hAnsi="Garamond" w:cs="Times New Roman"/>
        </w:rPr>
        <w:t xml:space="preserve"> Edition, Transaction Publishers (1995), p. 227</w:t>
      </w:r>
    </w:p>
  </w:footnote>
  <w:footnote w:id="13">
    <w:p w14:paraId="449414B3" w14:textId="77777777" w:rsidR="000A68F6" w:rsidRPr="0002625D" w:rsidRDefault="000A68F6">
      <w:pPr>
        <w:pStyle w:val="FootnoteText"/>
        <w:rPr>
          <w:rFonts w:ascii="Garamond" w:hAnsi="Garamond" w:cs="Times New Roman"/>
        </w:rPr>
      </w:pPr>
      <w:r w:rsidRPr="0002625D">
        <w:rPr>
          <w:rStyle w:val="FootnoteReference"/>
          <w:rFonts w:ascii="Garamond" w:hAnsi="Garamond" w:cs="Times New Roman"/>
        </w:rPr>
        <w:footnoteRef/>
      </w:r>
      <w:r w:rsidRPr="0002625D">
        <w:rPr>
          <w:rFonts w:ascii="Garamond" w:hAnsi="Garamond" w:cs="Times New Roman"/>
        </w:rPr>
        <w:t xml:space="preserve"> Mesa-Lago, Carmelo, ‘Economic and Ideological Cycles in Cuba: Policy and Performance, 1959 – 2002’ in A. R. M. Ritter, ed., </w:t>
      </w:r>
      <w:r w:rsidRPr="0002625D">
        <w:rPr>
          <w:rFonts w:ascii="Garamond" w:hAnsi="Garamond" w:cs="Times New Roman"/>
          <w:i/>
        </w:rPr>
        <w:t>The Cuban Economy</w:t>
      </w:r>
      <w:r w:rsidRPr="0002625D">
        <w:rPr>
          <w:rFonts w:ascii="Garamond" w:hAnsi="Garamond" w:cs="Times New Roman"/>
        </w:rPr>
        <w:t>, University of Pittsburgh Press (2004), p. 32</w:t>
      </w:r>
    </w:p>
  </w:footnote>
  <w:footnote w:id="14">
    <w:p w14:paraId="7FEAF61C" w14:textId="77777777" w:rsidR="000A68F6" w:rsidRPr="0002625D" w:rsidRDefault="000A68F6">
      <w:pPr>
        <w:pStyle w:val="FootnoteText"/>
        <w:rPr>
          <w:rFonts w:ascii="Garamond" w:hAnsi="Garamond" w:cs="Times New Roman"/>
        </w:rPr>
      </w:pPr>
      <w:r w:rsidRPr="0002625D">
        <w:rPr>
          <w:rStyle w:val="FootnoteReference"/>
          <w:rFonts w:ascii="Garamond" w:hAnsi="Garamond" w:cs="Times New Roman"/>
        </w:rPr>
        <w:footnoteRef/>
      </w:r>
      <w:r w:rsidRPr="0002625D">
        <w:rPr>
          <w:rFonts w:ascii="Garamond" w:hAnsi="Garamond" w:cs="Times New Roman"/>
        </w:rPr>
        <w:t xml:space="preserve"> Ritter, Archibald R. M., </w:t>
      </w:r>
      <w:r w:rsidRPr="0002625D">
        <w:rPr>
          <w:rFonts w:ascii="Garamond" w:hAnsi="Garamond" w:cs="Times New Roman"/>
          <w:i/>
        </w:rPr>
        <w:t>The Economic Development of Revolutionary Cuba; Strategy and Performance</w:t>
      </w:r>
      <w:r w:rsidRPr="0002625D">
        <w:rPr>
          <w:rFonts w:ascii="Garamond" w:hAnsi="Garamond" w:cs="Times New Roman"/>
        </w:rPr>
        <w:t>, Praeger Publishers (1975), p. 282-283</w:t>
      </w:r>
    </w:p>
  </w:footnote>
  <w:footnote w:id="15">
    <w:p w14:paraId="73F07D44" w14:textId="77777777" w:rsidR="000A68F6" w:rsidRPr="0002625D" w:rsidRDefault="000A68F6">
      <w:pPr>
        <w:pStyle w:val="FootnoteText"/>
        <w:rPr>
          <w:rFonts w:ascii="Garamond" w:hAnsi="Garamond" w:cs="Times New Roman"/>
        </w:rPr>
      </w:pPr>
      <w:r w:rsidRPr="0002625D">
        <w:rPr>
          <w:rStyle w:val="FootnoteReference"/>
          <w:rFonts w:ascii="Garamond" w:hAnsi="Garamond" w:cs="Times New Roman"/>
        </w:rPr>
        <w:footnoteRef/>
      </w:r>
      <w:r w:rsidRPr="0002625D">
        <w:rPr>
          <w:rFonts w:ascii="Garamond" w:hAnsi="Garamond" w:cs="Times New Roman"/>
        </w:rPr>
        <w:t xml:space="preserve"> Mesa-Lago, Carmelo, ‘Economic and Ideological Cycles in Cuba: Policy and Performance, 1959 – 2002’ in A. R. M. Ritter, ed., </w:t>
      </w:r>
      <w:r w:rsidRPr="0002625D">
        <w:rPr>
          <w:rFonts w:ascii="Garamond" w:hAnsi="Garamond" w:cs="Times New Roman"/>
          <w:i/>
        </w:rPr>
        <w:t>The Cuban Economy</w:t>
      </w:r>
      <w:r w:rsidRPr="0002625D">
        <w:rPr>
          <w:rFonts w:ascii="Garamond" w:hAnsi="Garamond" w:cs="Times New Roman"/>
        </w:rPr>
        <w:t>, University of Pittsburgh Press (2004), p. 34</w:t>
      </w:r>
    </w:p>
  </w:footnote>
  <w:footnote w:id="16">
    <w:p w14:paraId="6C028586" w14:textId="77777777" w:rsidR="000A68F6" w:rsidRPr="0002625D" w:rsidRDefault="000A68F6">
      <w:pPr>
        <w:pStyle w:val="FootnoteText"/>
        <w:rPr>
          <w:rFonts w:ascii="Garamond" w:hAnsi="Garamond" w:cs="Times New Roman"/>
        </w:rPr>
      </w:pPr>
      <w:r w:rsidRPr="0002625D">
        <w:rPr>
          <w:rStyle w:val="FootnoteReference"/>
          <w:rFonts w:ascii="Garamond" w:hAnsi="Garamond" w:cs="Times New Roman"/>
        </w:rPr>
        <w:footnoteRef/>
      </w:r>
      <w:r w:rsidRPr="0002625D">
        <w:rPr>
          <w:rFonts w:ascii="Garamond" w:hAnsi="Garamond" w:cs="Times New Roman"/>
        </w:rPr>
        <w:t xml:space="preserve"> Nelson, Lowry, </w:t>
      </w:r>
      <w:r w:rsidRPr="0002625D">
        <w:rPr>
          <w:rFonts w:ascii="Garamond" w:hAnsi="Garamond" w:cs="Times New Roman"/>
          <w:i/>
        </w:rPr>
        <w:t>Cuba: The Measure of a Revolution</w:t>
      </w:r>
      <w:r w:rsidRPr="0002625D">
        <w:rPr>
          <w:rFonts w:ascii="Garamond" w:hAnsi="Garamond" w:cs="Times New Roman"/>
        </w:rPr>
        <w:t>, University of Minnesota Press (1972), p. 197</w:t>
      </w:r>
    </w:p>
  </w:footnote>
  <w:footnote w:id="17">
    <w:p w14:paraId="37C94E35" w14:textId="77777777" w:rsidR="000A68F6" w:rsidRPr="0002625D" w:rsidRDefault="000A68F6">
      <w:pPr>
        <w:pStyle w:val="FootnoteText"/>
        <w:rPr>
          <w:rFonts w:ascii="Garamond" w:hAnsi="Garamond" w:cs="Times New Roman"/>
        </w:rPr>
      </w:pPr>
      <w:r w:rsidRPr="0002625D">
        <w:rPr>
          <w:rStyle w:val="FootnoteReference"/>
          <w:rFonts w:ascii="Garamond" w:hAnsi="Garamond" w:cs="Times New Roman"/>
        </w:rPr>
        <w:footnoteRef/>
      </w:r>
      <w:r w:rsidRPr="0002625D">
        <w:rPr>
          <w:rFonts w:ascii="Garamond" w:hAnsi="Garamond" w:cs="Times New Roman"/>
        </w:rPr>
        <w:t xml:space="preserve"> Benjamin, Medea, Joseph Collins and Michael Scott, ‘T</w:t>
      </w:r>
      <w:r>
        <w:rPr>
          <w:rFonts w:ascii="Garamond" w:hAnsi="Garamond" w:cs="Times New Roman"/>
        </w:rPr>
        <w:t>he Agrarian Revolution’ in A.</w:t>
      </w:r>
      <w:r w:rsidRPr="0002625D">
        <w:rPr>
          <w:rFonts w:ascii="Garamond" w:hAnsi="Garamond" w:cs="Times New Roman"/>
        </w:rPr>
        <w:t xml:space="preserve"> Chomsky et al., eds., </w:t>
      </w:r>
      <w:r w:rsidRPr="0002625D">
        <w:rPr>
          <w:rFonts w:ascii="Garamond" w:hAnsi="Garamond" w:cs="Times New Roman"/>
          <w:i/>
        </w:rPr>
        <w:t>The Cuba Reader: History, Culture, Politics</w:t>
      </w:r>
      <w:r w:rsidRPr="0002625D">
        <w:rPr>
          <w:rFonts w:ascii="Garamond" w:hAnsi="Garamond" w:cs="Times New Roman"/>
        </w:rPr>
        <w:t>, Duke University Press (2004), p. 384</w:t>
      </w:r>
    </w:p>
  </w:footnote>
  <w:footnote w:id="18">
    <w:p w14:paraId="40CA09B7" w14:textId="77777777" w:rsidR="000A68F6" w:rsidRPr="0002625D" w:rsidRDefault="000A68F6">
      <w:pPr>
        <w:pStyle w:val="FootnoteText"/>
        <w:rPr>
          <w:rFonts w:ascii="Garamond" w:hAnsi="Garamond" w:cs="Times New Roman"/>
        </w:rPr>
      </w:pPr>
      <w:r w:rsidRPr="0002625D">
        <w:rPr>
          <w:rStyle w:val="FootnoteReference"/>
          <w:rFonts w:ascii="Garamond" w:hAnsi="Garamond" w:cs="Times New Roman"/>
        </w:rPr>
        <w:footnoteRef/>
      </w:r>
      <w:r w:rsidRPr="0002625D">
        <w:rPr>
          <w:rFonts w:ascii="Garamond" w:hAnsi="Garamond" w:cs="Times New Roman"/>
        </w:rPr>
        <w:t xml:space="preserve"> Nelson, Lowry, </w:t>
      </w:r>
      <w:r w:rsidRPr="0002625D">
        <w:rPr>
          <w:rFonts w:ascii="Garamond" w:hAnsi="Garamond" w:cs="Times New Roman"/>
          <w:i/>
        </w:rPr>
        <w:t>Cuba: The Measure of a Revolution</w:t>
      </w:r>
      <w:r w:rsidRPr="0002625D">
        <w:rPr>
          <w:rFonts w:ascii="Garamond" w:hAnsi="Garamond" w:cs="Times New Roman"/>
        </w:rPr>
        <w:t>, University of Minnesota Press (1972), p. 196</w:t>
      </w:r>
    </w:p>
  </w:footnote>
  <w:footnote w:id="19">
    <w:p w14:paraId="21E38FBE" w14:textId="77777777" w:rsidR="000A68F6" w:rsidRPr="0002625D" w:rsidRDefault="000A68F6">
      <w:pPr>
        <w:pStyle w:val="FootnoteText"/>
        <w:rPr>
          <w:rFonts w:ascii="Garamond" w:hAnsi="Garamond" w:cs="Times New Roman"/>
        </w:rPr>
      </w:pPr>
      <w:r w:rsidRPr="0002625D">
        <w:rPr>
          <w:rStyle w:val="FootnoteReference"/>
          <w:rFonts w:ascii="Garamond" w:hAnsi="Garamond" w:cs="Times New Roman"/>
        </w:rPr>
        <w:footnoteRef/>
      </w:r>
      <w:r w:rsidRPr="0002625D">
        <w:rPr>
          <w:rFonts w:ascii="Garamond" w:hAnsi="Garamond" w:cs="Times New Roman"/>
        </w:rPr>
        <w:t xml:space="preserve"> Ritter, Archibald R. M., </w:t>
      </w:r>
      <w:r w:rsidRPr="0002625D">
        <w:rPr>
          <w:rFonts w:ascii="Garamond" w:hAnsi="Garamond" w:cs="Times New Roman"/>
          <w:i/>
        </w:rPr>
        <w:t>The Economic Development of Revolutionary Cuba; Strategy and Performance</w:t>
      </w:r>
      <w:r w:rsidRPr="0002625D">
        <w:rPr>
          <w:rFonts w:ascii="Garamond" w:hAnsi="Garamond" w:cs="Times New Roman"/>
        </w:rPr>
        <w:t>, Praeger Publishers (1975), p. 76</w:t>
      </w:r>
    </w:p>
  </w:footnote>
  <w:footnote w:id="20">
    <w:p w14:paraId="320E32D5" w14:textId="77777777" w:rsidR="000A68F6" w:rsidRPr="0002625D" w:rsidRDefault="000A68F6">
      <w:pPr>
        <w:pStyle w:val="FootnoteText"/>
        <w:rPr>
          <w:rFonts w:ascii="Garamond" w:hAnsi="Garamond" w:cs="Times New Roman"/>
        </w:rPr>
      </w:pPr>
      <w:r w:rsidRPr="0002625D">
        <w:rPr>
          <w:rStyle w:val="FootnoteReference"/>
          <w:rFonts w:ascii="Garamond" w:hAnsi="Garamond" w:cs="Times New Roman"/>
        </w:rPr>
        <w:footnoteRef/>
      </w:r>
      <w:r w:rsidRPr="0002625D">
        <w:rPr>
          <w:rFonts w:ascii="Garamond" w:hAnsi="Garamond" w:cs="Times New Roman"/>
        </w:rPr>
        <w:t xml:space="preserve"> Ibid. p. 78</w:t>
      </w:r>
    </w:p>
  </w:footnote>
  <w:footnote w:id="21">
    <w:p w14:paraId="65C0E1CE" w14:textId="77777777" w:rsidR="000A68F6" w:rsidRPr="0002625D" w:rsidRDefault="000A68F6">
      <w:pPr>
        <w:pStyle w:val="FootnoteText"/>
        <w:rPr>
          <w:rFonts w:ascii="Garamond" w:hAnsi="Garamond" w:cs="Times New Roman"/>
        </w:rPr>
      </w:pPr>
      <w:r w:rsidRPr="0002625D">
        <w:rPr>
          <w:rStyle w:val="FootnoteReference"/>
          <w:rFonts w:ascii="Garamond" w:hAnsi="Garamond" w:cs="Times New Roman"/>
        </w:rPr>
        <w:footnoteRef/>
      </w:r>
      <w:r w:rsidRPr="0002625D">
        <w:rPr>
          <w:rFonts w:ascii="Garamond" w:hAnsi="Garamond" w:cs="Times New Roman"/>
        </w:rPr>
        <w:t xml:space="preserve"> Pérez, Louis A., </w:t>
      </w:r>
      <w:r w:rsidRPr="0002625D">
        <w:rPr>
          <w:rFonts w:ascii="Garamond" w:hAnsi="Garamond" w:cs="Times New Roman"/>
          <w:i/>
        </w:rPr>
        <w:t>Cuba: Between Reform and Revolution</w:t>
      </w:r>
      <w:r w:rsidRPr="0002625D">
        <w:rPr>
          <w:rFonts w:ascii="Garamond" w:hAnsi="Garamond" w:cs="Times New Roman"/>
        </w:rPr>
        <w:t>, Oxford University Press (2014), p. 262</w:t>
      </w:r>
    </w:p>
  </w:footnote>
  <w:footnote w:id="22">
    <w:p w14:paraId="33A3802A" w14:textId="77777777" w:rsidR="000A68F6" w:rsidRPr="0002625D" w:rsidRDefault="000A68F6">
      <w:pPr>
        <w:pStyle w:val="FootnoteText"/>
        <w:rPr>
          <w:rFonts w:ascii="Garamond" w:hAnsi="Garamond" w:cs="Times New Roman"/>
        </w:rPr>
      </w:pPr>
      <w:r w:rsidRPr="0002625D">
        <w:rPr>
          <w:rStyle w:val="FootnoteReference"/>
          <w:rFonts w:ascii="Garamond" w:hAnsi="Garamond" w:cs="Times New Roman"/>
        </w:rPr>
        <w:footnoteRef/>
      </w:r>
      <w:r w:rsidRPr="0002625D">
        <w:rPr>
          <w:rFonts w:ascii="Garamond" w:hAnsi="Garamond" w:cs="Times New Roman"/>
        </w:rPr>
        <w:t xml:space="preserve"> Stodden, William, </w:t>
      </w:r>
      <w:r w:rsidRPr="0002625D">
        <w:rPr>
          <w:rFonts w:ascii="Garamond" w:hAnsi="Garamond" w:cs="Times New Roman"/>
          <w:i/>
        </w:rPr>
        <w:t>Chronology of The Economic Ministry of Comrade Guevara after the Revolution in Cuba</w:t>
      </w:r>
      <w:r w:rsidRPr="0002625D">
        <w:rPr>
          <w:rFonts w:ascii="Garamond" w:hAnsi="Garamond" w:cs="Times New Roman"/>
        </w:rPr>
        <w:t>, Che Guevara Internet Archive (2000)</w:t>
      </w:r>
    </w:p>
    <w:p w14:paraId="2278AD6A" w14:textId="77777777" w:rsidR="000A68F6" w:rsidRPr="0002625D" w:rsidRDefault="000A68F6">
      <w:pPr>
        <w:pStyle w:val="FootnoteText"/>
        <w:rPr>
          <w:rFonts w:ascii="Garamond" w:hAnsi="Garamond" w:cs="Times New Roman"/>
        </w:rPr>
      </w:pPr>
      <w:r w:rsidRPr="0002625D">
        <w:rPr>
          <w:rFonts w:ascii="Garamond" w:hAnsi="Garamond" w:cs="Times New Roman"/>
        </w:rPr>
        <w:t xml:space="preserve">Available at: </w:t>
      </w:r>
      <w:hyperlink r:id="rId3" w:history="1">
        <w:r w:rsidRPr="0002625D">
          <w:rPr>
            <w:rStyle w:val="Hyperlink"/>
            <w:rFonts w:ascii="Garamond" w:hAnsi="Garamond" w:cs="Times New Roman"/>
          </w:rPr>
          <w:t>https://www.marxists.org/archive/guevara/biography/econ-ministry.htm</w:t>
        </w:r>
      </w:hyperlink>
      <w:r w:rsidRPr="0002625D">
        <w:rPr>
          <w:rFonts w:ascii="Garamond" w:hAnsi="Garamond" w:cs="Times New Roman"/>
        </w:rPr>
        <w:t xml:space="preserve"> </w:t>
      </w:r>
    </w:p>
  </w:footnote>
  <w:footnote w:id="23">
    <w:p w14:paraId="0AA19367" w14:textId="77777777" w:rsidR="000A68F6" w:rsidRPr="0002625D" w:rsidRDefault="000A68F6">
      <w:pPr>
        <w:pStyle w:val="FootnoteText"/>
        <w:rPr>
          <w:rFonts w:ascii="Garamond" w:hAnsi="Garamond" w:cs="Times New Roman"/>
        </w:rPr>
      </w:pPr>
      <w:r w:rsidRPr="0002625D">
        <w:rPr>
          <w:rStyle w:val="FootnoteReference"/>
          <w:rFonts w:ascii="Garamond" w:hAnsi="Garamond" w:cs="Times New Roman"/>
        </w:rPr>
        <w:footnoteRef/>
      </w:r>
      <w:r w:rsidRPr="0002625D">
        <w:rPr>
          <w:rFonts w:ascii="Garamond" w:hAnsi="Garamond" w:cs="Times New Roman"/>
        </w:rPr>
        <w:t xml:space="preserve"> Thomas, Hugh, </w:t>
      </w:r>
      <w:r w:rsidRPr="0002625D">
        <w:rPr>
          <w:rFonts w:ascii="Garamond" w:hAnsi="Garamond" w:cs="Times New Roman"/>
          <w:i/>
        </w:rPr>
        <w:t>Cuba: A History</w:t>
      </w:r>
      <w:r w:rsidRPr="0002625D">
        <w:rPr>
          <w:rFonts w:ascii="Garamond" w:hAnsi="Garamond" w:cs="Times New Roman"/>
        </w:rPr>
        <w:t>, Penguin Books (2010), p. 1015</w:t>
      </w:r>
    </w:p>
  </w:footnote>
  <w:footnote w:id="24">
    <w:p w14:paraId="73A08C5D" w14:textId="77777777" w:rsidR="000A68F6" w:rsidRPr="0002625D" w:rsidRDefault="000A68F6" w:rsidP="003715AE">
      <w:pPr>
        <w:pStyle w:val="FootnoteText"/>
        <w:rPr>
          <w:rFonts w:ascii="Garamond" w:hAnsi="Garamond" w:cs="Times New Roman"/>
        </w:rPr>
      </w:pPr>
      <w:r w:rsidRPr="0002625D">
        <w:rPr>
          <w:rStyle w:val="FootnoteReference"/>
          <w:rFonts w:ascii="Garamond" w:hAnsi="Garamond" w:cs="Times New Roman"/>
        </w:rPr>
        <w:footnoteRef/>
      </w:r>
      <w:r w:rsidRPr="0002625D">
        <w:rPr>
          <w:rFonts w:ascii="Garamond" w:hAnsi="Garamond" w:cs="Times New Roman"/>
        </w:rPr>
        <w:t xml:space="preserve"> Placencia, Germán Veloz, </w:t>
      </w:r>
      <w:r w:rsidRPr="0002625D">
        <w:rPr>
          <w:rFonts w:ascii="Garamond" w:hAnsi="Garamond" w:cs="Times New Roman"/>
          <w:i/>
        </w:rPr>
        <w:t>Che’s passion for the nickel industry</w:t>
      </w:r>
      <w:r w:rsidRPr="0002625D">
        <w:rPr>
          <w:rFonts w:ascii="Garamond" w:hAnsi="Garamond" w:cs="Times New Roman"/>
        </w:rPr>
        <w:t>, Granma (2017)</w:t>
      </w:r>
    </w:p>
    <w:p w14:paraId="7135C398" w14:textId="77777777" w:rsidR="000A68F6" w:rsidRPr="0002625D" w:rsidRDefault="000A68F6">
      <w:pPr>
        <w:pStyle w:val="FootnoteText"/>
        <w:rPr>
          <w:rFonts w:ascii="Garamond" w:hAnsi="Garamond" w:cs="Times New Roman"/>
        </w:rPr>
      </w:pPr>
      <w:r w:rsidRPr="0002625D">
        <w:rPr>
          <w:rFonts w:ascii="Garamond" w:hAnsi="Garamond" w:cs="Times New Roman"/>
        </w:rPr>
        <w:t xml:space="preserve">Available at: </w:t>
      </w:r>
      <w:hyperlink r:id="rId4" w:history="1">
        <w:r w:rsidRPr="0002625D">
          <w:rPr>
            <w:rStyle w:val="Hyperlink"/>
            <w:rFonts w:ascii="Garamond" w:hAnsi="Garamond" w:cs="Times New Roman"/>
          </w:rPr>
          <w:t>http://en.granma.cu/cuba/2017-08-23/ches-passion-for-the-nickel-industry</w:t>
        </w:r>
      </w:hyperlink>
      <w:r w:rsidRPr="0002625D">
        <w:rPr>
          <w:rFonts w:ascii="Garamond" w:hAnsi="Garamond" w:cs="Times New Roman"/>
        </w:rPr>
        <w:t xml:space="preserve"> </w:t>
      </w:r>
    </w:p>
  </w:footnote>
  <w:footnote w:id="25">
    <w:p w14:paraId="369D8924" w14:textId="77777777" w:rsidR="000A68F6" w:rsidRPr="00535AE2" w:rsidRDefault="000A68F6" w:rsidP="003715AE">
      <w:pPr>
        <w:pStyle w:val="FootnoteText"/>
        <w:rPr>
          <w:rFonts w:ascii="Garamond" w:hAnsi="Garamond" w:cs="Times New Roman"/>
        </w:rPr>
      </w:pPr>
      <w:r w:rsidRPr="00535AE2">
        <w:rPr>
          <w:rStyle w:val="FootnoteReference"/>
          <w:rFonts w:ascii="Garamond" w:hAnsi="Garamond" w:cs="Times New Roman"/>
        </w:rPr>
        <w:footnoteRef/>
      </w:r>
      <w:r w:rsidRPr="00535AE2">
        <w:rPr>
          <w:rFonts w:ascii="Garamond" w:hAnsi="Garamond" w:cs="Times New Roman"/>
        </w:rPr>
        <w:t xml:space="preserve"> Stodden, William, </w:t>
      </w:r>
      <w:r w:rsidRPr="00535AE2">
        <w:rPr>
          <w:rFonts w:ascii="Garamond" w:hAnsi="Garamond" w:cs="Times New Roman"/>
          <w:i/>
        </w:rPr>
        <w:t>Chronology of The Economic Ministry of Comrade Guevara after the Revolution in Cuba</w:t>
      </w:r>
      <w:r w:rsidRPr="00535AE2">
        <w:rPr>
          <w:rFonts w:ascii="Garamond" w:hAnsi="Garamond" w:cs="Times New Roman"/>
        </w:rPr>
        <w:t>, Che Guevara Internet Archive (2000)</w:t>
      </w:r>
    </w:p>
    <w:p w14:paraId="54A30BB5" w14:textId="77777777" w:rsidR="000A68F6" w:rsidRPr="00535AE2" w:rsidRDefault="000A68F6" w:rsidP="00267755">
      <w:pPr>
        <w:rPr>
          <w:rFonts w:ascii="Garamond" w:hAnsi="Garamond"/>
          <w:color w:val="0563C1" w:themeColor="hyperlink"/>
          <w:sz w:val="20"/>
          <w:szCs w:val="20"/>
          <w:u w:val="single"/>
        </w:rPr>
      </w:pPr>
      <w:r w:rsidRPr="00535AE2">
        <w:rPr>
          <w:rFonts w:ascii="Garamond" w:hAnsi="Garamond"/>
          <w:sz w:val="20"/>
          <w:szCs w:val="20"/>
        </w:rPr>
        <w:t xml:space="preserve">Available at: </w:t>
      </w:r>
      <w:hyperlink r:id="rId5" w:history="1">
        <w:r w:rsidRPr="00535AE2">
          <w:rPr>
            <w:rStyle w:val="Hyperlink"/>
            <w:rFonts w:ascii="Garamond" w:hAnsi="Garamond"/>
            <w:sz w:val="20"/>
            <w:szCs w:val="20"/>
          </w:rPr>
          <w:t>https://www.marxists.org/archive/guevara/biography/econ-ministry.htm</w:t>
        </w:r>
      </w:hyperlink>
    </w:p>
  </w:footnote>
  <w:footnote w:id="26">
    <w:p w14:paraId="0E051299" w14:textId="77777777" w:rsidR="000A68F6" w:rsidRPr="00535AE2" w:rsidRDefault="000A68F6">
      <w:pPr>
        <w:pStyle w:val="FootnoteText"/>
        <w:rPr>
          <w:rFonts w:ascii="Garamond" w:hAnsi="Garamond" w:cs="Times New Roman"/>
        </w:rPr>
      </w:pPr>
      <w:r w:rsidRPr="00535AE2">
        <w:rPr>
          <w:rStyle w:val="FootnoteReference"/>
          <w:rFonts w:ascii="Garamond" w:hAnsi="Garamond" w:cs="Times New Roman"/>
        </w:rPr>
        <w:footnoteRef/>
      </w:r>
      <w:r w:rsidRPr="00535AE2">
        <w:rPr>
          <w:rFonts w:ascii="Garamond" w:hAnsi="Garamond" w:cs="Times New Roman"/>
        </w:rPr>
        <w:t xml:space="preserve"> Pérez, Louis A., </w:t>
      </w:r>
      <w:r w:rsidRPr="00535AE2">
        <w:rPr>
          <w:rFonts w:ascii="Garamond" w:hAnsi="Garamond" w:cs="Times New Roman"/>
          <w:i/>
        </w:rPr>
        <w:t>Cuba: Between Reform and Revolution</w:t>
      </w:r>
      <w:r w:rsidRPr="00535AE2">
        <w:rPr>
          <w:rFonts w:ascii="Garamond" w:hAnsi="Garamond" w:cs="Times New Roman"/>
        </w:rPr>
        <w:t>, Oxford University Press (2014), p. 262</w:t>
      </w:r>
    </w:p>
  </w:footnote>
  <w:footnote w:id="27">
    <w:p w14:paraId="73A72403" w14:textId="77777777" w:rsidR="000A68F6" w:rsidRPr="00535AE2" w:rsidRDefault="000A68F6">
      <w:pPr>
        <w:pStyle w:val="FootnoteText"/>
        <w:rPr>
          <w:rFonts w:ascii="Garamond" w:hAnsi="Garamond" w:cs="Times New Roman"/>
        </w:rPr>
      </w:pPr>
      <w:r w:rsidRPr="00535AE2">
        <w:rPr>
          <w:rStyle w:val="FootnoteReference"/>
          <w:rFonts w:ascii="Garamond" w:hAnsi="Garamond" w:cs="Times New Roman"/>
        </w:rPr>
        <w:footnoteRef/>
      </w:r>
      <w:r w:rsidRPr="00535AE2">
        <w:rPr>
          <w:rFonts w:ascii="Garamond" w:hAnsi="Garamond" w:cs="Times New Roman"/>
        </w:rPr>
        <w:t xml:space="preserve"> Rodríguez, Carlos Rafael, </w:t>
      </w:r>
      <w:r w:rsidRPr="00535AE2">
        <w:rPr>
          <w:rFonts w:ascii="Garamond" w:eastAsia="Baskerville Old Face" w:hAnsi="Garamond" w:cs="Times New Roman"/>
          <w:i/>
        </w:rPr>
        <w:t>Cuba en el transit al socialismo</w:t>
      </w:r>
      <w:r w:rsidRPr="00535AE2">
        <w:rPr>
          <w:rFonts w:ascii="Garamond" w:eastAsia="Baskerville Old Face" w:hAnsi="Garamond" w:cs="Times New Roman"/>
        </w:rPr>
        <w:t>, Siglo Ventiuno Editores (1978), p. 125</w:t>
      </w:r>
    </w:p>
  </w:footnote>
  <w:footnote w:id="28">
    <w:p w14:paraId="6E1D7C46" w14:textId="77777777" w:rsidR="000A68F6" w:rsidRPr="00096D45" w:rsidRDefault="000A68F6">
      <w:pPr>
        <w:pStyle w:val="FootnoteText"/>
        <w:rPr>
          <w:rFonts w:ascii="Garamond" w:hAnsi="Garamond" w:cs="Times New Roman"/>
        </w:rPr>
      </w:pPr>
      <w:r w:rsidRPr="00096D45">
        <w:rPr>
          <w:rStyle w:val="FootnoteReference"/>
          <w:rFonts w:ascii="Garamond" w:hAnsi="Garamond" w:cs="Times New Roman"/>
        </w:rPr>
        <w:footnoteRef/>
      </w:r>
      <w:r w:rsidRPr="00096D45">
        <w:rPr>
          <w:rFonts w:ascii="Garamond" w:hAnsi="Garamond" w:cs="Times New Roman"/>
        </w:rPr>
        <w:t xml:space="preserve"> Pérez-Stable, Marifeli, </w:t>
      </w:r>
      <w:r w:rsidRPr="00096D45">
        <w:rPr>
          <w:rFonts w:ascii="Garamond" w:hAnsi="Garamond" w:cs="Times New Roman"/>
          <w:i/>
        </w:rPr>
        <w:t>The Cuban Revolution: Origins, Course, and Legacy</w:t>
      </w:r>
      <w:r w:rsidRPr="00096D45">
        <w:rPr>
          <w:rFonts w:ascii="Garamond" w:hAnsi="Garamond" w:cs="Times New Roman"/>
        </w:rPr>
        <w:t>, Oxford University Press (1993), p. 89</w:t>
      </w:r>
    </w:p>
  </w:footnote>
  <w:footnote w:id="29">
    <w:p w14:paraId="7C358CED" w14:textId="77777777" w:rsidR="000A68F6" w:rsidRPr="00096D45" w:rsidRDefault="000A68F6">
      <w:pPr>
        <w:pStyle w:val="FootnoteText"/>
        <w:rPr>
          <w:rFonts w:ascii="Garamond" w:hAnsi="Garamond" w:cs="Times New Roman"/>
        </w:rPr>
      </w:pPr>
      <w:r w:rsidRPr="00096D45">
        <w:rPr>
          <w:rStyle w:val="FootnoteReference"/>
          <w:rFonts w:ascii="Garamond" w:hAnsi="Garamond" w:cs="Times New Roman"/>
        </w:rPr>
        <w:footnoteRef/>
      </w:r>
      <w:r w:rsidRPr="00096D45">
        <w:rPr>
          <w:rFonts w:ascii="Garamond" w:hAnsi="Garamond" w:cs="Times New Roman"/>
        </w:rPr>
        <w:t xml:space="preserve"> Pérez, Louis A., </w:t>
      </w:r>
      <w:r w:rsidRPr="00096D45">
        <w:rPr>
          <w:rFonts w:ascii="Garamond" w:hAnsi="Garamond" w:cs="Times New Roman"/>
          <w:i/>
        </w:rPr>
        <w:t>Cuba: Between Reform and Revolution</w:t>
      </w:r>
      <w:r w:rsidRPr="00096D45">
        <w:rPr>
          <w:rFonts w:ascii="Garamond" w:hAnsi="Garamond" w:cs="Times New Roman"/>
        </w:rPr>
        <w:t>, Oxford University Press (2014), p. 264</w:t>
      </w:r>
    </w:p>
  </w:footnote>
  <w:footnote w:id="30">
    <w:p w14:paraId="2D6C57E9" w14:textId="77777777" w:rsidR="000A68F6" w:rsidRPr="00096D45" w:rsidRDefault="000A68F6">
      <w:pPr>
        <w:pStyle w:val="FootnoteText"/>
        <w:rPr>
          <w:rFonts w:ascii="Garamond" w:hAnsi="Garamond" w:cs="Times New Roman"/>
        </w:rPr>
      </w:pPr>
      <w:r w:rsidRPr="00096D45">
        <w:rPr>
          <w:rStyle w:val="FootnoteReference"/>
          <w:rFonts w:ascii="Garamond" w:hAnsi="Garamond" w:cs="Times New Roman"/>
        </w:rPr>
        <w:footnoteRef/>
      </w:r>
      <w:r w:rsidRPr="00096D45">
        <w:rPr>
          <w:rFonts w:ascii="Garamond" w:hAnsi="Garamond" w:cs="Times New Roman"/>
        </w:rPr>
        <w:t xml:space="preserve"> LeoGrande, William M., and Julie M. Thomas, ‘Cuba’s Quest for Economic Independence’. </w:t>
      </w:r>
      <w:r w:rsidRPr="00096D45">
        <w:rPr>
          <w:rFonts w:ascii="Garamond" w:hAnsi="Garamond" w:cs="Times New Roman"/>
          <w:i/>
        </w:rPr>
        <w:t>Journal of Latin American Studies</w:t>
      </w:r>
      <w:r w:rsidRPr="00096D45">
        <w:rPr>
          <w:rFonts w:ascii="Garamond" w:hAnsi="Garamond" w:cs="Times New Roman"/>
        </w:rPr>
        <w:t xml:space="preserve"> 34.2 (2002), p. 326. Available at: </w:t>
      </w:r>
      <w:hyperlink r:id="rId6" w:history="1">
        <w:r w:rsidRPr="00096D45">
          <w:rPr>
            <w:rStyle w:val="Hyperlink"/>
            <w:rFonts w:ascii="Garamond" w:hAnsi="Garamond" w:cs="Times New Roman"/>
          </w:rPr>
          <w:t>https://www.researchgate.net/profile/William_Leogrande/publication/231965406_Cuba's_Quest_for_Economic_Independence/links/56bb42c308ae0908186805d1.pdf</w:t>
        </w:r>
      </w:hyperlink>
    </w:p>
  </w:footnote>
  <w:footnote w:id="31">
    <w:p w14:paraId="30754A35" w14:textId="77777777" w:rsidR="000A68F6" w:rsidRPr="00096D45" w:rsidRDefault="000A68F6">
      <w:pPr>
        <w:pStyle w:val="FootnoteText"/>
        <w:rPr>
          <w:rFonts w:ascii="Garamond" w:hAnsi="Garamond" w:cs="Times New Roman"/>
        </w:rPr>
      </w:pPr>
      <w:r w:rsidRPr="00096D45">
        <w:rPr>
          <w:rStyle w:val="FootnoteReference"/>
          <w:rFonts w:ascii="Garamond" w:hAnsi="Garamond" w:cs="Times New Roman"/>
        </w:rPr>
        <w:footnoteRef/>
      </w:r>
      <w:r w:rsidRPr="00096D45">
        <w:rPr>
          <w:rFonts w:ascii="Garamond" w:hAnsi="Garamond" w:cs="Times New Roman"/>
        </w:rPr>
        <w:t xml:space="preserve"> Pérez, Louis A., </w:t>
      </w:r>
      <w:r w:rsidRPr="00096D45">
        <w:rPr>
          <w:rFonts w:ascii="Garamond" w:hAnsi="Garamond" w:cs="Times New Roman"/>
          <w:i/>
        </w:rPr>
        <w:t>Cuba: Between Reform and Revolution</w:t>
      </w:r>
      <w:r w:rsidRPr="00096D45">
        <w:rPr>
          <w:rFonts w:ascii="Garamond" w:hAnsi="Garamond" w:cs="Times New Roman"/>
        </w:rPr>
        <w:t>, Oxford University Press (2014), p. 264</w:t>
      </w:r>
    </w:p>
  </w:footnote>
  <w:footnote w:id="32">
    <w:p w14:paraId="1EAC8E73" w14:textId="77777777" w:rsidR="000A68F6" w:rsidRPr="00096D45" w:rsidRDefault="000A68F6">
      <w:pPr>
        <w:pStyle w:val="FootnoteText"/>
        <w:rPr>
          <w:rFonts w:ascii="Garamond" w:hAnsi="Garamond" w:cs="Times New Roman"/>
        </w:rPr>
      </w:pPr>
      <w:r w:rsidRPr="00096D45">
        <w:rPr>
          <w:rStyle w:val="FootnoteReference"/>
          <w:rFonts w:ascii="Garamond" w:hAnsi="Garamond" w:cs="Times New Roman"/>
        </w:rPr>
        <w:footnoteRef/>
      </w:r>
      <w:r w:rsidRPr="00096D45">
        <w:rPr>
          <w:rFonts w:ascii="Garamond" w:hAnsi="Garamond" w:cs="Times New Roman"/>
        </w:rPr>
        <w:t xml:space="preserve"> Thomas, Hugh, </w:t>
      </w:r>
      <w:r w:rsidRPr="00096D45">
        <w:rPr>
          <w:rFonts w:ascii="Garamond" w:hAnsi="Garamond" w:cs="Times New Roman"/>
          <w:i/>
        </w:rPr>
        <w:t>Cuba: A History</w:t>
      </w:r>
      <w:r w:rsidRPr="00096D45">
        <w:rPr>
          <w:rFonts w:ascii="Garamond" w:hAnsi="Garamond" w:cs="Times New Roman"/>
        </w:rPr>
        <w:t>, Penguin Books (2010), p. 909</w:t>
      </w:r>
    </w:p>
  </w:footnote>
  <w:footnote w:id="33">
    <w:p w14:paraId="5CE19849" w14:textId="77777777" w:rsidR="000A68F6" w:rsidRPr="00096D45" w:rsidRDefault="000A68F6">
      <w:pPr>
        <w:pStyle w:val="FootnoteText"/>
        <w:rPr>
          <w:rFonts w:ascii="Garamond" w:hAnsi="Garamond" w:cs="Times New Roman"/>
        </w:rPr>
      </w:pPr>
      <w:r w:rsidRPr="00096D45">
        <w:rPr>
          <w:rStyle w:val="FootnoteReference"/>
          <w:rFonts w:ascii="Garamond" w:hAnsi="Garamond" w:cs="Times New Roman"/>
        </w:rPr>
        <w:footnoteRef/>
      </w:r>
      <w:r w:rsidRPr="00096D45">
        <w:rPr>
          <w:rFonts w:ascii="Garamond" w:hAnsi="Garamond" w:cs="Times New Roman"/>
        </w:rPr>
        <w:t xml:space="preserve"> Pérez, Louis A., </w:t>
      </w:r>
      <w:r w:rsidRPr="00096D45">
        <w:rPr>
          <w:rFonts w:ascii="Garamond" w:hAnsi="Garamond" w:cs="Times New Roman"/>
          <w:i/>
        </w:rPr>
        <w:t>Cuba: Between Reform and Revolution</w:t>
      </w:r>
      <w:r w:rsidRPr="00096D45">
        <w:rPr>
          <w:rFonts w:ascii="Garamond" w:hAnsi="Garamond" w:cs="Times New Roman"/>
        </w:rPr>
        <w:t>, Oxford University Press (2014), p. 264</w:t>
      </w:r>
    </w:p>
  </w:footnote>
  <w:footnote w:id="34">
    <w:p w14:paraId="559BFF6F" w14:textId="77777777" w:rsidR="000A68F6" w:rsidRPr="00096D45" w:rsidRDefault="000A68F6">
      <w:pPr>
        <w:pStyle w:val="FootnoteText"/>
        <w:rPr>
          <w:rFonts w:ascii="Garamond" w:hAnsi="Garamond" w:cs="Times New Roman"/>
        </w:rPr>
      </w:pPr>
      <w:r w:rsidRPr="00096D45">
        <w:rPr>
          <w:rStyle w:val="FootnoteReference"/>
          <w:rFonts w:ascii="Garamond" w:hAnsi="Garamond" w:cs="Times New Roman"/>
        </w:rPr>
        <w:footnoteRef/>
      </w:r>
      <w:r w:rsidRPr="00096D45">
        <w:rPr>
          <w:rFonts w:ascii="Garamond" w:hAnsi="Garamond" w:cs="Times New Roman"/>
        </w:rPr>
        <w:t xml:space="preserve"> Ibid. p. 264</w:t>
      </w:r>
    </w:p>
  </w:footnote>
  <w:footnote w:id="35">
    <w:p w14:paraId="5CA33A23" w14:textId="77777777" w:rsidR="000A68F6" w:rsidRPr="00F0345B" w:rsidRDefault="000A68F6">
      <w:pPr>
        <w:pStyle w:val="FootnoteText"/>
        <w:rPr>
          <w:rFonts w:ascii="Garamond" w:hAnsi="Garamond" w:cs="Times New Roman"/>
        </w:rPr>
      </w:pPr>
      <w:r w:rsidRPr="00F0345B">
        <w:rPr>
          <w:rStyle w:val="FootnoteReference"/>
          <w:rFonts w:ascii="Garamond" w:hAnsi="Garamond" w:cs="Times New Roman"/>
        </w:rPr>
        <w:footnoteRef/>
      </w:r>
      <w:r w:rsidRPr="00F0345B">
        <w:rPr>
          <w:rFonts w:ascii="Garamond" w:hAnsi="Garamond" w:cs="Times New Roman"/>
        </w:rPr>
        <w:t xml:space="preserve"> Nelson, Lowry, </w:t>
      </w:r>
      <w:r w:rsidRPr="007077EF">
        <w:rPr>
          <w:rFonts w:ascii="Garamond" w:hAnsi="Garamond" w:cs="Times New Roman"/>
          <w:i/>
        </w:rPr>
        <w:t>Cuba: The Measure of a Revolution</w:t>
      </w:r>
      <w:r w:rsidRPr="00F0345B">
        <w:rPr>
          <w:rFonts w:ascii="Garamond" w:hAnsi="Garamond" w:cs="Times New Roman"/>
        </w:rPr>
        <w:t>, University of Minnesota Press (1972), p. 199</w:t>
      </w:r>
    </w:p>
  </w:footnote>
  <w:footnote w:id="36">
    <w:p w14:paraId="7CFA315E" w14:textId="77777777" w:rsidR="000A68F6" w:rsidRPr="00F0345B" w:rsidRDefault="000A68F6">
      <w:pPr>
        <w:pStyle w:val="FootnoteText"/>
        <w:rPr>
          <w:rFonts w:ascii="Garamond" w:hAnsi="Garamond" w:cs="Times New Roman"/>
        </w:rPr>
      </w:pPr>
      <w:r w:rsidRPr="00F0345B">
        <w:rPr>
          <w:rStyle w:val="FootnoteReference"/>
          <w:rFonts w:ascii="Garamond" w:hAnsi="Garamond" w:cs="Times New Roman"/>
        </w:rPr>
        <w:footnoteRef/>
      </w:r>
      <w:r w:rsidRPr="00F0345B">
        <w:rPr>
          <w:rFonts w:ascii="Garamond" w:hAnsi="Garamond" w:cs="Times New Roman"/>
        </w:rPr>
        <w:t xml:space="preserve"> Pérez, Louis A., </w:t>
      </w:r>
      <w:r w:rsidRPr="007077EF">
        <w:rPr>
          <w:rFonts w:ascii="Garamond" w:hAnsi="Garamond" w:cs="Times New Roman"/>
          <w:i/>
        </w:rPr>
        <w:t>Cuba: Between Reform and Revolution,</w:t>
      </w:r>
      <w:r w:rsidRPr="00F0345B">
        <w:rPr>
          <w:rFonts w:ascii="Garamond" w:hAnsi="Garamond" w:cs="Times New Roman"/>
        </w:rPr>
        <w:t xml:space="preserve"> Oxford University Press (2014), p. 264</w:t>
      </w:r>
    </w:p>
  </w:footnote>
  <w:footnote w:id="37">
    <w:p w14:paraId="2544EF7E" w14:textId="77777777" w:rsidR="000A68F6" w:rsidRPr="00F0345B" w:rsidRDefault="000A68F6">
      <w:pPr>
        <w:pStyle w:val="FootnoteText"/>
        <w:rPr>
          <w:rFonts w:ascii="Garamond" w:hAnsi="Garamond" w:cs="Times New Roman"/>
        </w:rPr>
      </w:pPr>
      <w:r w:rsidRPr="00F0345B">
        <w:rPr>
          <w:rStyle w:val="FootnoteReference"/>
          <w:rFonts w:ascii="Garamond" w:hAnsi="Garamond" w:cs="Times New Roman"/>
        </w:rPr>
        <w:footnoteRef/>
      </w:r>
      <w:r w:rsidRPr="00F0345B">
        <w:rPr>
          <w:rFonts w:ascii="Garamond" w:hAnsi="Garamond" w:cs="Times New Roman"/>
        </w:rPr>
        <w:t xml:space="preserve"> Comité Estatal de Estadísticas, Anuario Estadístico de Cuba (1968-1987) and LeoGrande, William M., and Julie M. Thomas, ‘Cuba’s Quest for Economic Independence’. </w:t>
      </w:r>
      <w:r w:rsidRPr="007077EF">
        <w:rPr>
          <w:rFonts w:ascii="Garamond" w:hAnsi="Garamond" w:cs="Times New Roman"/>
          <w:i/>
        </w:rPr>
        <w:t>Journal of Latin American Studies</w:t>
      </w:r>
      <w:r w:rsidRPr="00F0345B">
        <w:rPr>
          <w:rFonts w:ascii="Garamond" w:hAnsi="Garamond" w:cs="Times New Roman"/>
        </w:rPr>
        <w:t xml:space="preserve"> 34.2 (2002), p. 336-337. Available at: </w:t>
      </w:r>
      <w:hyperlink r:id="rId7" w:history="1">
        <w:r w:rsidRPr="00F0345B">
          <w:rPr>
            <w:rStyle w:val="Hyperlink"/>
            <w:rFonts w:ascii="Garamond" w:hAnsi="Garamond" w:cs="Times New Roman"/>
          </w:rPr>
          <w:t>https://www.researchgate.net/profile/William_Leogrande/publication/231965406_Cuba's_Quest_for_Economic_Independence/links/56bb42c308ae0908186805d1.pdf</w:t>
        </w:r>
      </w:hyperlink>
    </w:p>
  </w:footnote>
  <w:footnote w:id="38">
    <w:p w14:paraId="60A4707D" w14:textId="77777777" w:rsidR="000A68F6" w:rsidRPr="00F0345B" w:rsidRDefault="000A68F6" w:rsidP="008B2816">
      <w:pPr>
        <w:pStyle w:val="Heading1"/>
        <w:spacing w:before="0"/>
        <w:rPr>
          <w:rFonts w:ascii="Garamond" w:eastAsia="Times New Roman" w:hAnsi="Garamond" w:cs="Arial"/>
          <w:color w:val="111111"/>
          <w:sz w:val="20"/>
          <w:szCs w:val="20"/>
        </w:rPr>
      </w:pPr>
      <w:r w:rsidRPr="00F0345B">
        <w:rPr>
          <w:rStyle w:val="FootnoteReference"/>
          <w:rFonts w:ascii="Garamond" w:hAnsi="Garamond"/>
          <w:sz w:val="20"/>
          <w:szCs w:val="20"/>
        </w:rPr>
        <w:footnoteRef/>
      </w:r>
      <w:r w:rsidRPr="00F0345B">
        <w:rPr>
          <w:rFonts w:ascii="Garamond" w:hAnsi="Garamond"/>
          <w:sz w:val="20"/>
          <w:szCs w:val="20"/>
        </w:rPr>
        <w:t xml:space="preserve"> Paterson, Thomas and Dennis Merrill, </w:t>
      </w:r>
      <w:r w:rsidRPr="00E63B01">
        <w:rPr>
          <w:rStyle w:val="a-size-large"/>
          <w:rFonts w:ascii="Garamond" w:eastAsia="Times New Roman" w:hAnsi="Garamond" w:cs="Arial"/>
          <w:i/>
          <w:color w:val="111111"/>
          <w:sz w:val="20"/>
          <w:szCs w:val="20"/>
        </w:rPr>
        <w:t>Major Problems in American Foreign Relations</w:t>
      </w:r>
      <w:r w:rsidRPr="00E63B01">
        <w:rPr>
          <w:rStyle w:val="a-size-large"/>
          <w:rFonts w:ascii="Garamond" w:eastAsia="Times New Roman" w:hAnsi="Garamond" w:cs="Arial"/>
          <w:color w:val="111111"/>
          <w:sz w:val="20"/>
          <w:szCs w:val="20"/>
        </w:rPr>
        <w:t>,</w:t>
      </w:r>
      <w:r w:rsidRPr="00F0345B">
        <w:rPr>
          <w:rStyle w:val="a-size-large"/>
          <w:rFonts w:ascii="Garamond" w:eastAsia="Times New Roman" w:hAnsi="Garamond" w:cs="Arial"/>
          <w:color w:val="111111"/>
          <w:sz w:val="20"/>
          <w:szCs w:val="20"/>
        </w:rPr>
        <w:t xml:space="preserve"> Volume II: Since 1914, Cengage Learning (2009), p. 394</w:t>
      </w:r>
    </w:p>
  </w:footnote>
  <w:footnote w:id="39">
    <w:p w14:paraId="1F7C62B3" w14:textId="77777777" w:rsidR="000A68F6" w:rsidRPr="00F0345B" w:rsidRDefault="000A68F6">
      <w:pPr>
        <w:pStyle w:val="FootnoteText"/>
        <w:rPr>
          <w:rFonts w:ascii="Garamond" w:hAnsi="Garamond"/>
        </w:rPr>
      </w:pPr>
      <w:r w:rsidRPr="00F0345B">
        <w:rPr>
          <w:rStyle w:val="FootnoteReference"/>
          <w:rFonts w:ascii="Garamond" w:hAnsi="Garamond"/>
        </w:rPr>
        <w:footnoteRef/>
      </w:r>
      <w:r w:rsidRPr="00F0345B">
        <w:rPr>
          <w:rFonts w:ascii="Garamond" w:hAnsi="Garamond"/>
        </w:rPr>
        <w:t xml:space="preserve"> Pérez, Louis A., </w:t>
      </w:r>
      <w:r w:rsidRPr="00E63B01">
        <w:rPr>
          <w:rFonts w:ascii="Garamond" w:hAnsi="Garamond"/>
          <w:i/>
        </w:rPr>
        <w:t>Cuba: Between Reform and Revolution</w:t>
      </w:r>
      <w:r w:rsidRPr="00F0345B">
        <w:rPr>
          <w:rFonts w:ascii="Garamond" w:hAnsi="Garamond"/>
        </w:rPr>
        <w:t>, Oxford University Press (2014), p. 265</w:t>
      </w:r>
    </w:p>
  </w:footnote>
  <w:footnote w:id="40">
    <w:p w14:paraId="01E3271A" w14:textId="77777777" w:rsidR="000A68F6" w:rsidRPr="00F0345B" w:rsidRDefault="000A68F6">
      <w:pPr>
        <w:pStyle w:val="FootnoteText"/>
        <w:rPr>
          <w:rFonts w:ascii="Garamond" w:hAnsi="Garamond"/>
        </w:rPr>
      </w:pPr>
      <w:r w:rsidRPr="00F0345B">
        <w:rPr>
          <w:rStyle w:val="FootnoteReference"/>
          <w:rFonts w:ascii="Garamond" w:hAnsi="Garamond"/>
        </w:rPr>
        <w:footnoteRef/>
      </w:r>
      <w:r w:rsidRPr="00F0345B">
        <w:rPr>
          <w:rFonts w:ascii="Garamond" w:hAnsi="Garamond"/>
        </w:rPr>
        <w:t xml:space="preserve"> Reagan, Nancy, </w:t>
      </w:r>
      <w:r w:rsidRPr="00E63B01">
        <w:rPr>
          <w:rFonts w:ascii="Garamond" w:hAnsi="Garamond"/>
          <w:i/>
        </w:rPr>
        <w:t>My Turn: The Memoirs of Nancy Reagan</w:t>
      </w:r>
      <w:r w:rsidRPr="00F0345B">
        <w:rPr>
          <w:rFonts w:ascii="Garamond" w:hAnsi="Garamond"/>
        </w:rPr>
        <w:t>, Random House (2011), p. 77</w:t>
      </w:r>
    </w:p>
  </w:footnote>
  <w:footnote w:id="41">
    <w:p w14:paraId="025FBB29" w14:textId="77777777" w:rsidR="008831A1" w:rsidRDefault="000A68F6" w:rsidP="00096D45">
      <w:pPr>
        <w:rPr>
          <w:rStyle w:val="Hyperlink"/>
          <w:rFonts w:ascii="Garamond" w:hAnsi="Garamond"/>
          <w:sz w:val="20"/>
          <w:szCs w:val="20"/>
          <w:u w:val="none"/>
        </w:rPr>
      </w:pPr>
      <w:r w:rsidRPr="008831A1">
        <w:rPr>
          <w:rStyle w:val="FootnoteReference"/>
          <w:rFonts w:ascii="Garamond" w:hAnsi="Garamond"/>
          <w:sz w:val="20"/>
          <w:szCs w:val="20"/>
        </w:rPr>
        <w:footnoteRef/>
      </w:r>
      <w:r w:rsidRPr="008831A1">
        <w:rPr>
          <w:rFonts w:ascii="Garamond" w:hAnsi="Garamond"/>
          <w:sz w:val="20"/>
          <w:szCs w:val="20"/>
        </w:rPr>
        <w:t xml:space="preserve"> </w:t>
      </w:r>
      <w:r w:rsidRPr="008831A1">
        <w:rPr>
          <w:rStyle w:val="Hyperlink"/>
          <w:rFonts w:ascii="Garamond" w:hAnsi="Garamond"/>
          <w:sz w:val="20"/>
          <w:szCs w:val="20"/>
          <w:u w:val="none"/>
        </w:rPr>
        <w:t xml:space="preserve">Yaffe, Helen, </w:t>
      </w:r>
      <w:r w:rsidRPr="008831A1">
        <w:rPr>
          <w:rStyle w:val="Hyperlink"/>
          <w:rFonts w:ascii="Garamond" w:hAnsi="Garamond"/>
          <w:i/>
          <w:sz w:val="20"/>
          <w:szCs w:val="20"/>
          <w:u w:val="none"/>
        </w:rPr>
        <w:t>Cuba is poor, but who is to blame – Castro or 50 years of US blockade?</w:t>
      </w:r>
      <w:r w:rsidRPr="008831A1">
        <w:rPr>
          <w:rStyle w:val="Hyperlink"/>
          <w:rFonts w:ascii="Garamond" w:hAnsi="Garamond"/>
          <w:sz w:val="20"/>
          <w:szCs w:val="20"/>
          <w:u w:val="none"/>
        </w:rPr>
        <w:t>, The Conversation (2016)</w:t>
      </w:r>
    </w:p>
    <w:p w14:paraId="2D9BB58B" w14:textId="77777777" w:rsidR="000A68F6" w:rsidRPr="008831A1" w:rsidRDefault="000A68F6" w:rsidP="00096D45">
      <w:pPr>
        <w:rPr>
          <w:rFonts w:ascii="Garamond" w:hAnsi="Garamond"/>
          <w:color w:val="0000FF"/>
          <w:sz w:val="20"/>
          <w:szCs w:val="20"/>
        </w:rPr>
      </w:pPr>
      <w:r w:rsidRPr="008831A1">
        <w:rPr>
          <w:rStyle w:val="Hyperlink"/>
          <w:rFonts w:ascii="Garamond" w:hAnsi="Garamond"/>
          <w:sz w:val="20"/>
          <w:szCs w:val="20"/>
          <w:u w:val="none"/>
        </w:rPr>
        <w:t xml:space="preserve">Available at: </w:t>
      </w:r>
      <w:hyperlink r:id="rId8" w:history="1">
        <w:r w:rsidRPr="008831A1">
          <w:rPr>
            <w:rStyle w:val="Hyperlink"/>
            <w:rFonts w:ascii="Garamond" w:hAnsi="Garamond"/>
            <w:sz w:val="20"/>
            <w:szCs w:val="20"/>
          </w:rPr>
          <w:t>http://theconversation.com/cuba-is-poor-but-who-is-to-blame-castro-or-50-years-of-us-blockade-69528</w:t>
        </w:r>
      </w:hyperlink>
      <w:r w:rsidRPr="008831A1">
        <w:rPr>
          <w:rStyle w:val="Hyperlink"/>
          <w:rFonts w:ascii="Garamond" w:hAnsi="Garamond"/>
          <w:sz w:val="20"/>
          <w:szCs w:val="20"/>
          <w:u w:val="none"/>
        </w:rPr>
        <w:t xml:space="preserve"> </w:t>
      </w:r>
    </w:p>
  </w:footnote>
  <w:footnote w:id="42">
    <w:p w14:paraId="49904EF6" w14:textId="77777777" w:rsidR="000A68F6" w:rsidRPr="00975103" w:rsidRDefault="000A68F6">
      <w:pPr>
        <w:pStyle w:val="FootnoteText"/>
        <w:rPr>
          <w:rFonts w:ascii="Garamond" w:hAnsi="Garamond"/>
        </w:rPr>
      </w:pPr>
      <w:r w:rsidRPr="00975103">
        <w:rPr>
          <w:rStyle w:val="FootnoteReference"/>
          <w:rFonts w:ascii="Garamond" w:hAnsi="Garamond"/>
        </w:rPr>
        <w:footnoteRef/>
      </w:r>
      <w:r w:rsidRPr="00975103">
        <w:rPr>
          <w:rFonts w:ascii="Garamond" w:hAnsi="Garamond"/>
        </w:rPr>
        <w:t xml:space="preserve"> Vidal, Pavel, </w:t>
      </w:r>
      <w:r w:rsidRPr="00975103">
        <w:rPr>
          <w:rFonts w:ascii="Garamond" w:hAnsi="Garamond"/>
          <w:i/>
        </w:rPr>
        <w:t>Is Cuba’s Economy Ready for the 2018 Leadership Transition?,</w:t>
      </w:r>
      <w:r w:rsidRPr="00975103">
        <w:rPr>
          <w:rFonts w:ascii="Garamond" w:hAnsi="Garamond"/>
        </w:rPr>
        <w:t xml:space="preserve"> Cuba Study Group (2018), p.4</w:t>
      </w:r>
    </w:p>
    <w:p w14:paraId="403211C7" w14:textId="77777777" w:rsidR="000A68F6" w:rsidRPr="00975103" w:rsidRDefault="000A68F6">
      <w:pPr>
        <w:pStyle w:val="FootnoteText"/>
        <w:rPr>
          <w:rFonts w:ascii="Garamond" w:hAnsi="Garamond"/>
        </w:rPr>
      </w:pPr>
      <w:r w:rsidRPr="00975103">
        <w:rPr>
          <w:rFonts w:ascii="Garamond" w:hAnsi="Garamond"/>
        </w:rPr>
        <w:t xml:space="preserve">Available at: </w:t>
      </w:r>
      <w:hyperlink r:id="rId9" w:history="1">
        <w:r w:rsidRPr="00975103">
          <w:rPr>
            <w:rStyle w:val="Hyperlink"/>
            <w:rFonts w:ascii="Garamond" w:hAnsi="Garamond"/>
          </w:rPr>
          <w:t>http://www.cubastudygroup.org/index.cfm/files/serve?File_id=046febac-1f56-4690-8107-a6e6568c5bf0</w:t>
        </w:r>
      </w:hyperlink>
      <w:r w:rsidRPr="00975103">
        <w:rPr>
          <w:rFonts w:ascii="Garamond" w:hAnsi="Garamond"/>
        </w:rP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68F6"/>
    <w:rsid w:val="000A68F6"/>
    <w:rsid w:val="00324806"/>
    <w:rsid w:val="00373847"/>
    <w:rsid w:val="0037545F"/>
    <w:rsid w:val="004F4B7E"/>
    <w:rsid w:val="005072EB"/>
    <w:rsid w:val="00535AE2"/>
    <w:rsid w:val="005E7443"/>
    <w:rsid w:val="007077EF"/>
    <w:rsid w:val="00787D13"/>
    <w:rsid w:val="008234CC"/>
    <w:rsid w:val="00873414"/>
    <w:rsid w:val="008831A1"/>
    <w:rsid w:val="00975103"/>
    <w:rsid w:val="00AD50B5"/>
    <w:rsid w:val="00BB72BC"/>
    <w:rsid w:val="00CA1F5B"/>
    <w:rsid w:val="00D333BE"/>
    <w:rsid w:val="00DC7033"/>
    <w:rsid w:val="00E63B01"/>
    <w:rsid w:val="00F0345B"/>
    <w:rsid w:val="00F816B4"/>
    <w:rsid w:val="00FA32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70201"/>
  <w15:chartTrackingRefBased/>
  <w15:docId w15:val="{2202E378-42EF-EF47-B95D-98BF56B15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A68F6"/>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68F6"/>
    <w:rPr>
      <w:rFonts w:asciiTheme="majorHAnsi" w:eastAsiaTheme="majorEastAsia" w:hAnsiTheme="majorHAnsi" w:cstheme="majorBidi"/>
      <w:color w:val="2F5496" w:themeColor="accent1" w:themeShade="BF"/>
      <w:sz w:val="32"/>
      <w:szCs w:val="32"/>
    </w:rPr>
  </w:style>
  <w:style w:type="character" w:styleId="Hyperlink">
    <w:name w:val="Hyperlink"/>
    <w:uiPriority w:val="99"/>
    <w:rsid w:val="000A68F6"/>
    <w:rPr>
      <w:color w:val="0000FF"/>
      <w:u w:val="single"/>
    </w:rPr>
  </w:style>
  <w:style w:type="paragraph" w:styleId="FootnoteText">
    <w:name w:val="footnote text"/>
    <w:basedOn w:val="Normal"/>
    <w:link w:val="FootnoteTextChar"/>
    <w:uiPriority w:val="99"/>
    <w:unhideWhenUsed/>
    <w:rsid w:val="000A68F6"/>
    <w:rPr>
      <w:sz w:val="20"/>
      <w:szCs w:val="20"/>
    </w:rPr>
  </w:style>
  <w:style w:type="character" w:customStyle="1" w:styleId="FootnoteTextChar">
    <w:name w:val="Footnote Text Char"/>
    <w:basedOn w:val="DefaultParagraphFont"/>
    <w:link w:val="FootnoteText"/>
    <w:uiPriority w:val="99"/>
    <w:rsid w:val="000A68F6"/>
    <w:rPr>
      <w:sz w:val="20"/>
      <w:szCs w:val="20"/>
    </w:rPr>
  </w:style>
  <w:style w:type="character" w:styleId="FootnoteReference">
    <w:name w:val="footnote reference"/>
    <w:basedOn w:val="DefaultParagraphFont"/>
    <w:uiPriority w:val="99"/>
    <w:unhideWhenUsed/>
    <w:rsid w:val="000A68F6"/>
    <w:rPr>
      <w:vertAlign w:val="superscript"/>
    </w:rPr>
  </w:style>
  <w:style w:type="character" w:customStyle="1" w:styleId="a-size-large">
    <w:name w:val="a-size-large"/>
    <w:basedOn w:val="DefaultParagraphFont"/>
    <w:rsid w:val="000A68F6"/>
  </w:style>
  <w:style w:type="paragraph" w:styleId="Header">
    <w:name w:val="header"/>
    <w:basedOn w:val="Normal"/>
    <w:link w:val="HeaderChar"/>
    <w:uiPriority w:val="99"/>
    <w:unhideWhenUsed/>
    <w:rsid w:val="00AD50B5"/>
    <w:pPr>
      <w:tabs>
        <w:tab w:val="center" w:pos="4513"/>
        <w:tab w:val="right" w:pos="9026"/>
      </w:tabs>
    </w:pPr>
  </w:style>
  <w:style w:type="character" w:customStyle="1" w:styleId="HeaderChar">
    <w:name w:val="Header Char"/>
    <w:basedOn w:val="DefaultParagraphFont"/>
    <w:link w:val="Header"/>
    <w:uiPriority w:val="99"/>
    <w:rsid w:val="00AD50B5"/>
  </w:style>
  <w:style w:type="paragraph" w:styleId="Footer">
    <w:name w:val="footer"/>
    <w:basedOn w:val="Normal"/>
    <w:link w:val="FooterChar"/>
    <w:uiPriority w:val="99"/>
    <w:unhideWhenUsed/>
    <w:rsid w:val="00AD50B5"/>
    <w:pPr>
      <w:tabs>
        <w:tab w:val="center" w:pos="4513"/>
        <w:tab w:val="right" w:pos="9026"/>
      </w:tabs>
    </w:pPr>
  </w:style>
  <w:style w:type="character" w:customStyle="1" w:styleId="FooterChar">
    <w:name w:val="Footer Char"/>
    <w:basedOn w:val="DefaultParagraphFont"/>
    <w:link w:val="Footer"/>
    <w:uiPriority w:val="99"/>
    <w:rsid w:val="00AD50B5"/>
  </w:style>
  <w:style w:type="character" w:styleId="PageNumber">
    <w:name w:val="page number"/>
    <w:basedOn w:val="DefaultParagraphFont"/>
    <w:uiPriority w:val="99"/>
    <w:semiHidden/>
    <w:unhideWhenUsed/>
    <w:rsid w:val="00AD50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conomist.com/briefing/2008/12/30/heroic-myth-and-prosaic-failure" TargetMode="External"/><Relationship Id="rId13" Type="http://schemas.openxmlformats.org/officeDocument/2006/relationships/hyperlink" Target="https://scholar.colorado.edu/cgi/viewcontent.cgi?article=1689&amp;context=honr_theses" TargetMode="External"/><Relationship Id="rId18" Type="http://schemas.openxmlformats.org/officeDocument/2006/relationships/hyperlink" Target="http://www.cubastudygroup.org/index.cfm/files/serve?File_id=046febac-1f56-4690-8107-a6e6568c5bf0" TargetMode="External"/><Relationship Id="rId3" Type="http://schemas.openxmlformats.org/officeDocument/2006/relationships/webSettings" Target="webSettings.xml"/><Relationship Id="rId21" Type="http://schemas.openxmlformats.org/officeDocument/2006/relationships/image" Target="media/image2.png"/><Relationship Id="rId7" Type="http://schemas.openxmlformats.org/officeDocument/2006/relationships/hyperlink" Target="https://scholarworks.umb.edu/cgi/viewcontent.cgi?article=1003&amp;context=sociology_faculty_pubs" TargetMode="External"/><Relationship Id="rId12" Type="http://schemas.openxmlformats.org/officeDocument/2006/relationships/hyperlink" Target="http://etd.fcla.edu/CF/CFE0005538/Formated_Thesis1.pdf" TargetMode="External"/><Relationship Id="rId17" Type="http://schemas.openxmlformats.org/officeDocument/2006/relationships/hyperlink" Target="http://theconversation.com/cuba-is-poor-but-who-is-to-blame-castro-or-50-years-of-us-blockade-69528"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www.marxists.org/archive/guevara/biography/econ-ministry.htm" TargetMode="External"/><Relationship Id="rId20" Type="http://schemas.openxmlformats.org/officeDocument/2006/relationships/hyperlink" Target="https://www.nytimes.com/interactive/2016/11/26/world/americas/fidel-castro-cuban-posters.html" TargetMode="External"/><Relationship Id="rId1" Type="http://schemas.openxmlformats.org/officeDocument/2006/relationships/styles" Target="styles.xml"/><Relationship Id="rId6" Type="http://schemas.openxmlformats.org/officeDocument/2006/relationships/hyperlink" Target="http://www.one.cu/publicaciones/50aniversario/medio%20ambiente/public%20completa.pdf" TargetMode="External"/><Relationship Id="rId11" Type="http://schemas.openxmlformats.org/officeDocument/2006/relationships/hyperlink" Target="https://ses.library.usyd.edu.au/bitstream/2123/12538/5/cameron_ma_thesis.pdf" TargetMode="External"/><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www.nytimes.com/interactive/2016/11/26/world/americas/fidel-castro-cuban-posters.html" TargetMode="External"/><Relationship Id="rId23" Type="http://schemas.openxmlformats.org/officeDocument/2006/relationships/footer" Target="footer2.xml"/><Relationship Id="rId10" Type="http://schemas.openxmlformats.org/officeDocument/2006/relationships/hyperlink" Target="https://readingfromtheleft.com/PDF/CubaSlee2.pdf" TargetMode="External"/><Relationship Id="rId19" Type="http://schemas.openxmlformats.org/officeDocument/2006/relationships/image" Target="media/image1.png"/><Relationship Id="rId4" Type="http://schemas.openxmlformats.org/officeDocument/2006/relationships/footnotes" Target="footnotes.xml"/><Relationship Id="rId9" Type="http://schemas.openxmlformats.org/officeDocument/2006/relationships/hyperlink" Target="https://www.researchgate.net/profile/William_Leogrande/publication/231965406_Cuba's_Quest_for_Economic_Independence/links/56bb42c308ae0908186805d1.pdf" TargetMode="External"/><Relationship Id="rId14" Type="http://schemas.openxmlformats.org/officeDocument/2006/relationships/hyperlink" Target="http://en.granma.cu/cuba/2017-08-23/ches-passion-for-the-nickel-industry"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theconversation.com/cuba-is-poor-but-who-is-to-blame-castro-or-50-years-of-us-blockade-69528" TargetMode="External"/><Relationship Id="rId3" Type="http://schemas.openxmlformats.org/officeDocument/2006/relationships/hyperlink" Target="https://www.marxists.org/archive/guevara/biography/econ-ministry.htm" TargetMode="External"/><Relationship Id="rId7" Type="http://schemas.openxmlformats.org/officeDocument/2006/relationships/hyperlink" Target="https://www.researchgate.net/profile/William_Leogrande/publication/231965406_Cuba's_Quest_for_Economic_Independence/links/56bb42c308ae0908186805d1.pdf" TargetMode="External"/><Relationship Id="rId2" Type="http://schemas.openxmlformats.org/officeDocument/2006/relationships/hyperlink" Target="https://www.researchgate.net/profile/William_Leogrande/publication/231965406_Cuba's_Quest_for_Economic_Independence/links/56bb42c308ae0908186805d1.pdf" TargetMode="External"/><Relationship Id="rId1" Type="http://schemas.openxmlformats.org/officeDocument/2006/relationships/hyperlink" Target="https://www.researchgate.net/profile/William_Leogrande/publication/231965406_Cuba's_Quest_for_Economic_Independence/links/56bb42c308ae0908186805d1.pdf" TargetMode="External"/><Relationship Id="rId6" Type="http://schemas.openxmlformats.org/officeDocument/2006/relationships/hyperlink" Target="https://www.researchgate.net/profile/William_Leogrande/publication/231965406_Cuba's_Quest_for_Economic_Independence/links/56bb42c308ae0908186805d1.pdf" TargetMode="External"/><Relationship Id="rId5" Type="http://schemas.openxmlformats.org/officeDocument/2006/relationships/hyperlink" Target="https://www.marxists.org/archive/guevara/biography/econ-ministry.htm" TargetMode="External"/><Relationship Id="rId4" Type="http://schemas.openxmlformats.org/officeDocument/2006/relationships/hyperlink" Target="http://en.granma.cu/cuba/2017-08-23/ches-passion-for-the-nickel-industry" TargetMode="External"/><Relationship Id="rId9" Type="http://schemas.openxmlformats.org/officeDocument/2006/relationships/hyperlink" Target="http://www.cubastudygroup.org/index.cfm/files/serve?File_id=046febac-1f56-4690-8107-a6e6568c5bf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5144</Words>
  <Characters>29327</Characters>
  <Application>Microsoft Office Word</Application>
  <DocSecurity>4</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Connolly</dc:creator>
  <cp:keywords/>
  <dc:description/>
  <cp:lastModifiedBy>Elena Sorochina</cp:lastModifiedBy>
  <cp:revision>2</cp:revision>
  <dcterms:created xsi:type="dcterms:W3CDTF">2018-09-18T09:48:00Z</dcterms:created>
  <dcterms:modified xsi:type="dcterms:W3CDTF">2018-09-18T09:48:00Z</dcterms:modified>
</cp:coreProperties>
</file>