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BD22EA" w14:textId="7E4DD9F6" w:rsidR="001B74FC" w:rsidRPr="00844010" w:rsidRDefault="00906FA3" w:rsidP="00E050D8">
      <w:pPr>
        <w:spacing w:line="276" w:lineRule="auto"/>
        <w:jc w:val="center"/>
        <w:rPr>
          <w:u w:val="single"/>
        </w:rPr>
      </w:pPr>
      <w:bookmarkStart w:id="0" w:name="_GoBack"/>
      <w:bookmarkEnd w:id="0"/>
      <w:r>
        <w:rPr>
          <w:u w:val="single"/>
        </w:rPr>
        <w:t>The influence of Classical literature and mythology on the work of Seamus Heaney within the political context of 20</w:t>
      </w:r>
      <w:r w:rsidRPr="00906FA3">
        <w:rPr>
          <w:u w:val="single"/>
          <w:vertAlign w:val="superscript"/>
        </w:rPr>
        <w:t>th</w:t>
      </w:r>
      <w:r>
        <w:rPr>
          <w:u w:val="single"/>
        </w:rPr>
        <w:t xml:space="preserve"> century Ireland and the Troubles</w:t>
      </w:r>
    </w:p>
    <w:p w14:paraId="40ECAEA0" w14:textId="54BCEBCD" w:rsidR="0057590A" w:rsidRPr="007B0603" w:rsidRDefault="00461C89" w:rsidP="001F1007">
      <w:pPr>
        <w:spacing w:line="276" w:lineRule="auto"/>
        <w:rPr>
          <w:szCs w:val="21"/>
          <w:shd w:val="clear" w:color="auto" w:fill="FFFFFF"/>
        </w:rPr>
      </w:pPr>
      <w:r w:rsidRPr="007B0603">
        <w:rPr>
          <w:szCs w:val="21"/>
          <w:shd w:val="clear" w:color="auto" w:fill="FFFFFF"/>
        </w:rPr>
        <w:t xml:space="preserve">To make art from personal tragedy is </w:t>
      </w:r>
      <w:r w:rsidR="00906FA3">
        <w:rPr>
          <w:szCs w:val="21"/>
          <w:shd w:val="clear" w:color="auto" w:fill="FFFFFF"/>
        </w:rPr>
        <w:t>hard</w:t>
      </w:r>
      <w:r w:rsidRPr="007B0603">
        <w:rPr>
          <w:szCs w:val="21"/>
          <w:shd w:val="clear" w:color="auto" w:fill="FFFFFF"/>
        </w:rPr>
        <w:t xml:space="preserve">. This is a fact that Heaney acknowledges in his translation of </w:t>
      </w:r>
      <w:r w:rsidRPr="007B0603">
        <w:rPr>
          <w:i/>
          <w:szCs w:val="21"/>
          <w:shd w:val="clear" w:color="auto" w:fill="FFFFFF"/>
        </w:rPr>
        <w:t>Aeneid Book VI</w:t>
      </w:r>
      <w:r w:rsidRPr="007B0603">
        <w:rPr>
          <w:szCs w:val="21"/>
          <w:shd w:val="clear" w:color="auto" w:fill="FFFFFF"/>
        </w:rPr>
        <w:t xml:space="preserve"> as, addressing Icarus, he writes:</w:t>
      </w:r>
    </w:p>
    <w:p w14:paraId="05F16173" w14:textId="77777777" w:rsidR="00461C89" w:rsidRPr="007B0603" w:rsidRDefault="00461C89" w:rsidP="00461C89">
      <w:pPr>
        <w:spacing w:line="276" w:lineRule="auto"/>
        <w:jc w:val="center"/>
        <w:rPr>
          <w:szCs w:val="21"/>
          <w:shd w:val="clear" w:color="auto" w:fill="FFFFFF"/>
        </w:rPr>
      </w:pPr>
      <w:r w:rsidRPr="007B0603">
        <w:rPr>
          <w:szCs w:val="21"/>
          <w:shd w:val="clear" w:color="auto" w:fill="FFFFFF"/>
        </w:rPr>
        <w:t>“Twice</w:t>
      </w:r>
    </w:p>
    <w:p w14:paraId="130CEE0C" w14:textId="4814959D" w:rsidR="00461C89" w:rsidRPr="007B0603" w:rsidRDefault="00461C89" w:rsidP="00461C89">
      <w:pPr>
        <w:spacing w:line="276" w:lineRule="auto"/>
        <w:jc w:val="center"/>
        <w:rPr>
          <w:szCs w:val="21"/>
          <w:shd w:val="clear" w:color="auto" w:fill="FFFFFF"/>
        </w:rPr>
      </w:pPr>
      <w:r w:rsidRPr="007B0603">
        <w:rPr>
          <w:szCs w:val="21"/>
          <w:shd w:val="clear" w:color="auto" w:fill="FFFFFF"/>
        </w:rPr>
        <w:t>Dedalus tried to model your fall in gold, twice</w:t>
      </w:r>
    </w:p>
    <w:p w14:paraId="34CD6DED" w14:textId="4B08DF47" w:rsidR="0057590A" w:rsidRPr="007B0603" w:rsidRDefault="00461C89" w:rsidP="00461C89">
      <w:pPr>
        <w:spacing w:line="276" w:lineRule="auto"/>
        <w:jc w:val="center"/>
        <w:rPr>
          <w:szCs w:val="21"/>
          <w:shd w:val="clear" w:color="auto" w:fill="FFFFFF"/>
        </w:rPr>
      </w:pPr>
      <w:r w:rsidRPr="007B0603">
        <w:rPr>
          <w:szCs w:val="21"/>
          <w:shd w:val="clear" w:color="auto" w:fill="FFFFFF"/>
        </w:rPr>
        <w:t>His hands, the hands of a father, failed him.”</w:t>
      </w:r>
      <w:r w:rsidRPr="007B0603">
        <w:rPr>
          <w:rStyle w:val="FootnoteReference"/>
          <w:szCs w:val="21"/>
          <w:shd w:val="clear" w:color="auto" w:fill="FFFFFF"/>
        </w:rPr>
        <w:footnoteReference w:id="1"/>
      </w:r>
    </w:p>
    <w:p w14:paraId="5A5885F8" w14:textId="620B5EAB" w:rsidR="008C4B39" w:rsidRDefault="00461C89" w:rsidP="00290DF5">
      <w:pPr>
        <w:spacing w:line="276" w:lineRule="auto"/>
      </w:pPr>
      <w:r w:rsidRPr="007B0603">
        <w:rPr>
          <w:szCs w:val="21"/>
          <w:shd w:val="clear" w:color="auto" w:fill="FFFFFF"/>
        </w:rPr>
        <w:t>The Troubles were a perso</w:t>
      </w:r>
      <w:r w:rsidR="00D02646">
        <w:rPr>
          <w:szCs w:val="21"/>
          <w:shd w:val="clear" w:color="auto" w:fill="FFFFFF"/>
        </w:rPr>
        <w:t>nal tragedy for Ireland herself</w:t>
      </w:r>
      <w:r w:rsidRPr="007B0603">
        <w:rPr>
          <w:szCs w:val="21"/>
          <w:shd w:val="clear" w:color="auto" w:fill="FFFFFF"/>
        </w:rPr>
        <w:t xml:space="preserve"> and for her artists and writers, many of whom turned to the Ancients to comprehend such societal upheaval. Dedalus’ problem was that his hands </w:t>
      </w:r>
      <w:r w:rsidRPr="007B0603">
        <w:rPr>
          <w:i/>
          <w:szCs w:val="21"/>
          <w:shd w:val="clear" w:color="auto" w:fill="FFFFFF"/>
        </w:rPr>
        <w:t>were</w:t>
      </w:r>
      <w:r w:rsidRPr="007B0603">
        <w:rPr>
          <w:szCs w:val="21"/>
          <w:shd w:val="clear" w:color="auto" w:fill="FFFFFF"/>
        </w:rPr>
        <w:t xml:space="preserve"> “the hands of a father”; they could be no other’s, making it impossible for him to turn away or stand back. </w:t>
      </w:r>
      <w:r w:rsidR="00957A1F" w:rsidRPr="0024048E">
        <w:rPr>
          <w:szCs w:val="21"/>
          <w:shd w:val="clear" w:color="auto" w:fill="FFFFFF"/>
        </w:rPr>
        <w:t>The pressure was incomprehensible, and the resulting failure proved impossible, resulting in only two attempts</w:t>
      </w:r>
      <w:r w:rsidR="0024048E" w:rsidRPr="0024048E">
        <w:rPr>
          <w:szCs w:val="21"/>
          <w:shd w:val="clear" w:color="auto" w:fill="FFFFFF"/>
        </w:rPr>
        <w:t xml:space="preserve"> – one </w:t>
      </w:r>
      <w:r w:rsidR="00957A1F" w:rsidRPr="0024048E">
        <w:rPr>
          <w:szCs w:val="21"/>
          <w:shd w:val="clear" w:color="auto" w:fill="FFFFFF"/>
        </w:rPr>
        <w:t>away from the traditional tricolon rep</w:t>
      </w:r>
      <w:r w:rsidR="0024048E" w:rsidRPr="0024048E">
        <w:rPr>
          <w:szCs w:val="21"/>
          <w:shd w:val="clear" w:color="auto" w:fill="FFFFFF"/>
        </w:rPr>
        <w:t xml:space="preserve">resentative of a futile effort, </w:t>
      </w:r>
      <w:r w:rsidR="00957A1F" w:rsidRPr="0024048E">
        <w:rPr>
          <w:szCs w:val="21"/>
          <w:shd w:val="clear" w:color="auto" w:fill="FFFFFF"/>
        </w:rPr>
        <w:t>as seen with Aeneas’ three attempts to embrace Anchises</w:t>
      </w:r>
      <w:r w:rsidR="0024048E" w:rsidRPr="0024048E">
        <w:rPr>
          <w:szCs w:val="21"/>
          <w:shd w:val="clear" w:color="auto" w:fill="FFFFFF"/>
        </w:rPr>
        <w:t xml:space="preserve"> in the underworld in Aeneid VI</w:t>
      </w:r>
      <w:r w:rsidR="00957A1F" w:rsidRPr="0024048E">
        <w:rPr>
          <w:szCs w:val="21"/>
          <w:shd w:val="clear" w:color="auto" w:fill="FFFFFF"/>
        </w:rPr>
        <w:t>.</w:t>
      </w:r>
      <w:r w:rsidR="007B0603" w:rsidRPr="007B0603">
        <w:rPr>
          <w:szCs w:val="21"/>
          <w:shd w:val="clear" w:color="auto" w:fill="FFFFFF"/>
        </w:rPr>
        <w:t xml:space="preserve"> When faced with such a provocative political situation, many writers found a need for a poetic voice that, while </w:t>
      </w:r>
      <w:r w:rsidR="007B0603" w:rsidRPr="0024048E">
        <w:rPr>
          <w:szCs w:val="21"/>
          <w:shd w:val="clear" w:color="auto" w:fill="FFFFFF"/>
        </w:rPr>
        <w:t xml:space="preserve">distinctly Irish in identity, would be outside the restrictive boundaries of religion or nationality. Realising the impossibility of overtly religious imagery if they wished to remain unbiased and uncompromised as artists, many turned to Classical and Norse mythology in an attempt to understand and explain the turmoil in which they found themselves, and even urge a solution. This coincided with a Joycean move away from English poetic traditions, </w:t>
      </w:r>
      <w:r w:rsidR="00AE0E25" w:rsidRPr="0024048E">
        <w:rPr>
          <w:szCs w:val="21"/>
          <w:shd w:val="clear" w:color="auto" w:fill="FFFFFF"/>
        </w:rPr>
        <w:t>aiming</w:t>
      </w:r>
      <w:r w:rsidR="007B0603" w:rsidRPr="0024048E">
        <w:rPr>
          <w:szCs w:val="21"/>
          <w:shd w:val="clear" w:color="auto" w:fill="FFFFFF"/>
        </w:rPr>
        <w:t xml:space="preserve"> to find a uniquely and identifiably Irish voice, “replacing the Anglocentric Protestant tradition with a newly forged apparatus of Homeric correspondences, Dantesque scholasticism and a more or less Mediterranean, European, classically endorsed worldview”</w:t>
      </w:r>
      <w:r w:rsidR="007B0603" w:rsidRPr="0024048E">
        <w:rPr>
          <w:rStyle w:val="FootnoteReference"/>
          <w:szCs w:val="21"/>
          <w:shd w:val="clear" w:color="auto" w:fill="FFFFFF"/>
        </w:rPr>
        <w:footnoteReference w:id="2"/>
      </w:r>
      <w:r w:rsidR="007B0603" w:rsidRPr="0024048E">
        <w:rPr>
          <w:szCs w:val="21"/>
          <w:shd w:val="clear" w:color="auto" w:fill="FFFFFF"/>
        </w:rPr>
        <w:t>. For Heaney himself, Latin and the Classical world had been an interest of his youth</w:t>
      </w:r>
      <w:r w:rsidR="000D7A41" w:rsidRPr="0024048E">
        <w:rPr>
          <w:szCs w:val="21"/>
          <w:shd w:val="clear" w:color="auto" w:fill="FFFFFF"/>
        </w:rPr>
        <w:t xml:space="preserve">, but now became a guide through the political turmoil and personal compromises of the Troubles. In </w:t>
      </w:r>
      <w:r w:rsidR="000D7A41" w:rsidRPr="0024048E">
        <w:rPr>
          <w:i/>
          <w:szCs w:val="21"/>
          <w:shd w:val="clear" w:color="auto" w:fill="FFFFFF"/>
        </w:rPr>
        <w:t>Route 110</w:t>
      </w:r>
      <w:r w:rsidR="000D7A41">
        <w:rPr>
          <w:szCs w:val="21"/>
          <w:shd w:val="clear" w:color="auto" w:fill="FFFFFF"/>
        </w:rPr>
        <w:t>, a</w:t>
      </w:r>
      <w:r w:rsidR="004612A3">
        <w:rPr>
          <w:szCs w:val="21"/>
          <w:shd w:val="clear" w:color="auto" w:fill="FFFFFF"/>
        </w:rPr>
        <w:t>n intertextual</w:t>
      </w:r>
      <w:r w:rsidR="00F74A46">
        <w:rPr>
          <w:szCs w:val="21"/>
          <w:shd w:val="clear" w:color="auto" w:fill="FFFFFF"/>
        </w:rPr>
        <w:t xml:space="preserve"> 12-</w:t>
      </w:r>
      <w:r w:rsidR="000D7A41">
        <w:rPr>
          <w:szCs w:val="21"/>
          <w:shd w:val="clear" w:color="auto" w:fill="FFFFFF"/>
        </w:rPr>
        <w:t xml:space="preserve">part autobiographical poem </w:t>
      </w:r>
      <w:r w:rsidR="004612A3">
        <w:rPr>
          <w:szCs w:val="21"/>
          <w:shd w:val="clear" w:color="auto" w:fill="FFFFFF"/>
        </w:rPr>
        <w:t>based on Aeneid VI</w:t>
      </w:r>
      <w:r w:rsidR="000D7A41">
        <w:rPr>
          <w:szCs w:val="21"/>
          <w:shd w:val="clear" w:color="auto" w:fill="FFFFFF"/>
        </w:rPr>
        <w:t>, the quasi-Sibyl – a shopkeeper in a second-hand bookshop wearing “a stained front-buttoned shopcoat”</w:t>
      </w:r>
      <w:r w:rsidR="0024048E">
        <w:rPr>
          <w:rStyle w:val="FootnoteReference"/>
          <w:szCs w:val="21"/>
          <w:shd w:val="clear" w:color="auto" w:fill="FFFFFF"/>
        </w:rPr>
        <w:footnoteReference w:id="3"/>
      </w:r>
      <w:r w:rsidR="004612A3">
        <w:rPr>
          <w:szCs w:val="21"/>
          <w:shd w:val="clear" w:color="auto" w:fill="FFFFFF"/>
        </w:rPr>
        <w:t xml:space="preserve"> – sells him a battered second-hand copy of Aeneid VI: his Golden Bough, to lead hi</w:t>
      </w:r>
      <w:r w:rsidR="0038330C">
        <w:rPr>
          <w:szCs w:val="21"/>
          <w:shd w:val="clear" w:color="auto" w:fill="FFFFFF"/>
        </w:rPr>
        <w:t xml:space="preserve">m through the </w:t>
      </w:r>
      <w:r w:rsidR="0038330C" w:rsidRPr="0057590A">
        <w:rPr>
          <w:szCs w:val="21"/>
          <w:shd w:val="clear" w:color="auto" w:fill="FFFFFF"/>
        </w:rPr>
        <w:t xml:space="preserve">Troubles to peace, an example of the </w:t>
      </w:r>
      <w:r w:rsidR="00715894">
        <w:rPr>
          <w:szCs w:val="21"/>
          <w:shd w:val="clear" w:color="auto" w:fill="FFFFFF"/>
        </w:rPr>
        <w:t>Classical</w:t>
      </w:r>
      <w:r w:rsidR="0038330C" w:rsidRPr="0057590A">
        <w:rPr>
          <w:szCs w:val="21"/>
          <w:shd w:val="clear" w:color="auto" w:fill="FFFFFF"/>
        </w:rPr>
        <w:t xml:space="preserve"> literature and mythology that he so often employed to allegorise the modern political situation. </w:t>
      </w:r>
      <w:r w:rsidR="0038330C" w:rsidRPr="00F8597A">
        <w:t>Classical literature, and its willingness to depict and even confront its culture’s endemic violence and brutality, enabled</w:t>
      </w:r>
      <w:r w:rsidR="0038330C" w:rsidRPr="0057590A">
        <w:t xml:space="preserve"> writers to comprehend the modern conflict, it too characterised by “wars, </w:t>
      </w:r>
      <w:r w:rsidR="0043034E">
        <w:t>deadly</w:t>
      </w:r>
      <w:r w:rsidR="0038330C" w:rsidRPr="0057590A">
        <w:t xml:space="preserve"> wars, </w:t>
      </w:r>
      <w:r w:rsidR="0043034E">
        <w:t>… the Thybris</w:t>
      </w:r>
      <w:r w:rsidR="0038330C" w:rsidRPr="0057590A">
        <w:t xml:space="preserve"> foaming with </w:t>
      </w:r>
      <w:r w:rsidR="0043034E">
        <w:t>torrents of</w:t>
      </w:r>
      <w:r w:rsidR="0038330C" w:rsidRPr="0057590A">
        <w:t xml:space="preserve"> blood.”</w:t>
      </w:r>
      <w:r w:rsidR="0038330C" w:rsidRPr="0057590A">
        <w:rPr>
          <w:rStyle w:val="FootnoteReference"/>
        </w:rPr>
        <w:footnoteReference w:id="4"/>
      </w:r>
      <w:r w:rsidR="0038330C" w:rsidRPr="0057590A">
        <w:t xml:space="preserve"> For, as Joyce wrote in </w:t>
      </w:r>
      <w:r w:rsidR="0038330C" w:rsidRPr="0057590A">
        <w:rPr>
          <w:i/>
        </w:rPr>
        <w:t>Ulysses</w:t>
      </w:r>
      <w:r w:rsidR="0038330C" w:rsidRPr="0057590A">
        <w:t>, “history is a nightmare from which I am trying to awake.”</w:t>
      </w:r>
      <w:r w:rsidR="0038330C" w:rsidRPr="0057590A">
        <w:rPr>
          <w:rStyle w:val="FootnoteReference"/>
        </w:rPr>
        <w:footnoteReference w:id="5"/>
      </w:r>
      <w:r w:rsidR="0038330C" w:rsidRPr="0057590A">
        <w:t xml:space="preserve"> In many ways, this conflict was stuck in the past, characterised by secta</w:t>
      </w:r>
      <w:r w:rsidR="0057590A" w:rsidRPr="0057590A">
        <w:t>rianism and barbaric punishments</w:t>
      </w:r>
      <w:r w:rsidR="0038330C" w:rsidRPr="0057590A">
        <w:t xml:space="preserve">; the Sibyl’s catastrophic prediction seems to anticipate not just the fatalities of Aeneas’ battle with Turnus, but those of Ireland’s relentless turmoil. </w:t>
      </w:r>
    </w:p>
    <w:p w14:paraId="0573B551" w14:textId="29CD35AB" w:rsidR="009C1CD1" w:rsidRDefault="00A67E1B" w:rsidP="00290DF5">
      <w:pPr>
        <w:spacing w:line="276" w:lineRule="auto"/>
        <w:rPr>
          <w:rStyle w:val="normaltextrun"/>
          <w:rFonts w:ascii="Calibri" w:hAnsi="Calibri"/>
          <w:iCs/>
          <w:color w:val="000000"/>
          <w:shd w:val="clear" w:color="auto" w:fill="FFFFFF"/>
        </w:rPr>
      </w:pPr>
      <w:r w:rsidRPr="0057590A">
        <w:rPr>
          <w:szCs w:val="21"/>
          <w:shd w:val="clear" w:color="auto" w:fill="FFFFFF"/>
        </w:rPr>
        <w:t xml:space="preserve">Heaney’s first </w:t>
      </w:r>
      <w:r w:rsidR="00DB7F7E" w:rsidRPr="0057590A">
        <w:rPr>
          <w:szCs w:val="21"/>
          <w:shd w:val="clear" w:color="auto" w:fill="FFFFFF"/>
        </w:rPr>
        <w:t>translation of a full-length Classical work</w:t>
      </w:r>
      <w:r w:rsidRPr="0057590A">
        <w:rPr>
          <w:szCs w:val="21"/>
          <w:shd w:val="clear" w:color="auto" w:fill="FFFFFF"/>
        </w:rPr>
        <w:t xml:space="preserve"> was </w:t>
      </w:r>
      <w:r w:rsidRPr="0057590A">
        <w:rPr>
          <w:i/>
          <w:szCs w:val="21"/>
          <w:shd w:val="clear" w:color="auto" w:fill="FFFFFF"/>
        </w:rPr>
        <w:t>The Cure at Troy</w:t>
      </w:r>
      <w:r w:rsidRPr="0057590A">
        <w:rPr>
          <w:szCs w:val="21"/>
          <w:shd w:val="clear" w:color="auto" w:fill="FFFFFF"/>
        </w:rPr>
        <w:t xml:space="preserve">, a version of Sophocles’ </w:t>
      </w:r>
      <w:r w:rsidRPr="0057590A">
        <w:rPr>
          <w:i/>
          <w:szCs w:val="21"/>
          <w:shd w:val="clear" w:color="auto" w:fill="FFFFFF"/>
        </w:rPr>
        <w:t>Philoctetes</w:t>
      </w:r>
      <w:r w:rsidRPr="0057590A">
        <w:rPr>
          <w:szCs w:val="21"/>
          <w:shd w:val="clear" w:color="auto" w:fill="FFFFFF"/>
        </w:rPr>
        <w:t xml:space="preserve">. </w:t>
      </w:r>
      <w:r w:rsidR="00DB7F7E" w:rsidRPr="0057590A">
        <w:rPr>
          <w:szCs w:val="21"/>
          <w:shd w:val="clear" w:color="auto" w:fill="FFFFFF"/>
        </w:rPr>
        <w:t>It was p</w:t>
      </w:r>
      <w:r w:rsidRPr="0057590A">
        <w:rPr>
          <w:szCs w:val="21"/>
          <w:shd w:val="clear" w:color="auto" w:fill="FFFFFF"/>
        </w:rPr>
        <w:t xml:space="preserve">ublished in 1990, </w:t>
      </w:r>
      <w:r w:rsidR="00DB7F7E" w:rsidRPr="0057590A">
        <w:rPr>
          <w:szCs w:val="21"/>
          <w:shd w:val="clear" w:color="auto" w:fill="FFFFFF"/>
        </w:rPr>
        <w:t xml:space="preserve">at a similar time to his collection </w:t>
      </w:r>
      <w:r w:rsidR="00DB7F7E" w:rsidRPr="0057590A">
        <w:rPr>
          <w:i/>
          <w:szCs w:val="21"/>
          <w:shd w:val="clear" w:color="auto" w:fill="FFFFFF"/>
        </w:rPr>
        <w:t>Seeing Things,</w:t>
      </w:r>
      <w:r w:rsidR="00DB7F7E" w:rsidRPr="0057590A">
        <w:rPr>
          <w:szCs w:val="21"/>
          <w:shd w:val="clear" w:color="auto" w:fill="FFFFFF"/>
        </w:rPr>
        <w:t xml:space="preserve"> with which it shared a sense of optimism encapsulated in the </w:t>
      </w:r>
      <w:r w:rsidR="00DB7F7E" w:rsidRPr="0057590A">
        <w:rPr>
          <w:rStyle w:val="normaltextrun"/>
          <w:rFonts w:ascii="Calibri" w:hAnsi="Calibri"/>
          <w:shd w:val="clear" w:color="auto" w:fill="FFFFFF"/>
        </w:rPr>
        <w:t>final line of the poem </w:t>
      </w:r>
      <w:r w:rsidR="00DB7F7E" w:rsidRPr="0057590A">
        <w:rPr>
          <w:rStyle w:val="normaltextrun"/>
          <w:rFonts w:ascii="Calibri" w:hAnsi="Calibri"/>
          <w:i/>
          <w:iCs/>
          <w:shd w:val="clear" w:color="auto" w:fill="FFFFFF"/>
        </w:rPr>
        <w:t>Fosterlings</w:t>
      </w:r>
      <w:r w:rsidR="00DB7F7E" w:rsidRPr="0057590A">
        <w:rPr>
          <w:rStyle w:val="normaltextrun"/>
          <w:rFonts w:ascii="Calibri" w:hAnsi="Calibri"/>
          <w:shd w:val="clear" w:color="auto" w:fill="FFFFFF"/>
        </w:rPr>
        <w:t>, “</w:t>
      </w:r>
      <w:r w:rsidR="00DB7F7E" w:rsidRPr="0057590A">
        <w:rPr>
          <w:rStyle w:val="normaltextrun"/>
          <w:rFonts w:ascii="Calibri" w:hAnsi="Calibri"/>
          <w:i/>
          <w:iCs/>
          <w:shd w:val="clear" w:color="auto" w:fill="FFFFFF"/>
        </w:rPr>
        <w:t xml:space="preserve">time to be </w:t>
      </w:r>
      <w:r w:rsidR="00DB7F7E" w:rsidRPr="0057590A">
        <w:rPr>
          <w:rStyle w:val="normaltextrun"/>
          <w:rFonts w:ascii="Calibri" w:hAnsi="Calibri"/>
          <w:i/>
          <w:iCs/>
          <w:shd w:val="clear" w:color="auto" w:fill="FFFFFF"/>
        </w:rPr>
        <w:lastRenderedPageBreak/>
        <w:t>dazzled and the heart to lighten”</w:t>
      </w:r>
      <w:r w:rsidR="00D02646">
        <w:rPr>
          <w:rStyle w:val="FootnoteReference"/>
          <w:rFonts w:ascii="Calibri" w:hAnsi="Calibri"/>
          <w:i/>
          <w:iCs/>
          <w:shd w:val="clear" w:color="auto" w:fill="FFFFFF"/>
        </w:rPr>
        <w:footnoteReference w:id="6"/>
      </w:r>
      <w:r w:rsidR="00DB7F7E" w:rsidRPr="0057590A">
        <w:rPr>
          <w:rStyle w:val="normaltextrun"/>
          <w:rFonts w:ascii="Calibri" w:hAnsi="Calibri"/>
          <w:iCs/>
          <w:shd w:val="clear" w:color="auto" w:fill="FFFFFF"/>
        </w:rPr>
        <w:t>. Such confidence for the future was facilitated by the hope for a potential ceasefire, nearing the end of the Troubles; such compromise is the main theme of Heaney’s play. The Irish context is unmistakable, as Philoctetes’ lines</w:t>
      </w:r>
      <w:r w:rsidR="008418FD">
        <w:rPr>
          <w:rStyle w:val="normaltextrun"/>
          <w:rFonts w:ascii="Calibri" w:hAnsi="Calibri"/>
          <w:iCs/>
          <w:shd w:val="clear" w:color="auto" w:fill="FFFFFF"/>
        </w:rPr>
        <w:t xml:space="preserve"> are</w:t>
      </w:r>
      <w:r w:rsidR="00DB7F7E" w:rsidRPr="0057590A">
        <w:rPr>
          <w:rStyle w:val="normaltextrun"/>
          <w:rFonts w:ascii="Calibri" w:hAnsi="Calibri"/>
          <w:iCs/>
          <w:shd w:val="clear" w:color="auto" w:fill="FFFFFF"/>
        </w:rPr>
        <w:t xml:space="preserve"> peppered with exclamations of pain such as “Hohohohohoh”, while the penultimate chorus features a controversial stanza</w:t>
      </w:r>
      <w:r w:rsidR="009C1CD1" w:rsidRPr="0057590A">
        <w:rPr>
          <w:rStyle w:val="normaltextrun"/>
          <w:rFonts w:ascii="Calibri" w:hAnsi="Calibri"/>
          <w:iCs/>
          <w:shd w:val="clear" w:color="auto" w:fill="FFFFFF"/>
        </w:rPr>
        <w:t xml:space="preserve"> on “the innocent in gaols”, “a hunger striker’s father”, and “the police widow in veils”. For much of the play, the focus is on vengeance: Philoctetes calls on the gods “to strike the </w:t>
      </w:r>
      <w:r w:rsidR="009C1CD1">
        <w:rPr>
          <w:rStyle w:val="normaltextrun"/>
          <w:rFonts w:ascii="Calibri" w:hAnsi="Calibri"/>
          <w:iCs/>
          <w:color w:val="000000"/>
          <w:shd w:val="clear" w:color="auto" w:fill="FFFFFF"/>
        </w:rPr>
        <w:t xml:space="preserve">sons of Atreus in retaliation” for leaving him on the island, while obsessed with paranoia that “the birds and brutes [he] slaughtered with the bow” will claim his “life for theirs, eye and tooth and claw”, echoing the Old Testament’s </w:t>
      </w:r>
      <w:r w:rsidR="0057590A">
        <w:rPr>
          <w:rStyle w:val="normaltextrun"/>
          <w:rFonts w:ascii="Calibri" w:hAnsi="Calibri"/>
          <w:iCs/>
          <w:color w:val="000000"/>
          <w:shd w:val="clear" w:color="auto" w:fill="FFFFFF"/>
        </w:rPr>
        <w:t xml:space="preserve">definition of justice as </w:t>
      </w:r>
      <w:r w:rsidR="009C1CD1">
        <w:rPr>
          <w:rStyle w:val="normaltextrun"/>
          <w:rFonts w:ascii="Calibri" w:hAnsi="Calibri"/>
          <w:iCs/>
          <w:color w:val="000000"/>
          <w:shd w:val="clear" w:color="auto" w:fill="FFFFFF"/>
        </w:rPr>
        <w:t>“eye for eye, tooth for tooth, hand for hand”</w:t>
      </w:r>
      <w:r w:rsidR="00D24D2F">
        <w:rPr>
          <w:rStyle w:val="FootnoteReference"/>
          <w:rFonts w:ascii="Calibri" w:hAnsi="Calibri"/>
          <w:iCs/>
          <w:color w:val="000000"/>
          <w:shd w:val="clear" w:color="auto" w:fill="FFFFFF"/>
        </w:rPr>
        <w:footnoteReference w:id="7"/>
      </w:r>
      <w:r w:rsidR="0057590A">
        <w:rPr>
          <w:rStyle w:val="normaltextrun"/>
          <w:rFonts w:ascii="Calibri" w:hAnsi="Calibri"/>
          <w:iCs/>
          <w:color w:val="000000"/>
          <w:shd w:val="clear" w:color="auto" w:fill="FFFFFF"/>
        </w:rPr>
        <w:t>. T</w:t>
      </w:r>
      <w:r w:rsidR="009C1CD1">
        <w:rPr>
          <w:rStyle w:val="normaltextrun"/>
          <w:rFonts w:ascii="Calibri" w:hAnsi="Calibri"/>
          <w:iCs/>
          <w:color w:val="000000"/>
          <w:shd w:val="clear" w:color="auto" w:fill="FFFFFF"/>
        </w:rPr>
        <w:t>his is a world where revenge itself is a commodity</w:t>
      </w:r>
      <w:r w:rsidR="0057590A">
        <w:rPr>
          <w:rStyle w:val="normaltextrun"/>
          <w:rFonts w:ascii="Calibri" w:hAnsi="Calibri"/>
          <w:iCs/>
          <w:color w:val="000000"/>
          <w:shd w:val="clear" w:color="auto" w:fill="FFFFFF"/>
        </w:rPr>
        <w:t xml:space="preserve">, linking to the IRA’s notions of retribution during the Troubles, with punishments such as kneecapping and tarring-and-feathering. However, by the end of the play, the necessity for compromise has been realised, as even the fiercely </w:t>
      </w:r>
      <w:r w:rsidR="00951DA8">
        <w:rPr>
          <w:rStyle w:val="normaltextrun"/>
          <w:rFonts w:ascii="Calibri" w:hAnsi="Calibri"/>
          <w:iCs/>
          <w:color w:val="000000"/>
          <w:shd w:val="clear" w:color="auto" w:fill="FFFFFF"/>
        </w:rPr>
        <w:t>stubborn</w:t>
      </w:r>
      <w:r w:rsidR="0057590A">
        <w:rPr>
          <w:rStyle w:val="normaltextrun"/>
          <w:rFonts w:ascii="Calibri" w:hAnsi="Calibri"/>
          <w:iCs/>
          <w:color w:val="000000"/>
          <w:shd w:val="clear" w:color="auto" w:fill="FFFFFF"/>
        </w:rPr>
        <w:t xml:space="preserve"> Philoctetes agrees to join the Greeks in their war against Troy, despite their previous betrayal. Hean</w:t>
      </w:r>
      <w:r w:rsidR="00D25DBF">
        <w:rPr>
          <w:rStyle w:val="normaltextrun"/>
          <w:rFonts w:ascii="Calibri" w:hAnsi="Calibri"/>
          <w:iCs/>
          <w:color w:val="000000"/>
          <w:shd w:val="clear" w:color="auto" w:fill="FFFFFF"/>
        </w:rPr>
        <w:t xml:space="preserve">ey went so far as to add an extra chorus on the subject of </w:t>
      </w:r>
      <w:r w:rsidR="00F9068E">
        <w:rPr>
          <w:rStyle w:val="normaltextrun"/>
          <w:rFonts w:ascii="Calibri" w:hAnsi="Calibri"/>
          <w:iCs/>
          <w:color w:val="000000"/>
          <w:shd w:val="clear" w:color="auto" w:fill="FFFFFF"/>
        </w:rPr>
        <w:t xml:space="preserve">choosing </w:t>
      </w:r>
      <w:r w:rsidR="00D25DBF">
        <w:rPr>
          <w:rStyle w:val="normaltextrun"/>
          <w:rFonts w:ascii="Calibri" w:hAnsi="Calibri"/>
          <w:iCs/>
          <w:color w:val="000000"/>
          <w:shd w:val="clear" w:color="auto" w:fill="FFFFFF"/>
        </w:rPr>
        <w:t xml:space="preserve">compromise and </w:t>
      </w:r>
      <w:r w:rsidR="00F9068E">
        <w:rPr>
          <w:rStyle w:val="normaltextrun"/>
          <w:rFonts w:ascii="Calibri" w:hAnsi="Calibri"/>
          <w:iCs/>
          <w:color w:val="000000"/>
          <w:shd w:val="clear" w:color="auto" w:fill="FFFFFF"/>
        </w:rPr>
        <w:t>peace over vengeance</w:t>
      </w:r>
      <w:r w:rsidR="0057590A">
        <w:rPr>
          <w:rStyle w:val="normaltextrun"/>
          <w:rFonts w:ascii="Calibri" w:hAnsi="Calibri"/>
          <w:iCs/>
          <w:color w:val="000000"/>
          <w:shd w:val="clear" w:color="auto" w:fill="FFFFFF"/>
        </w:rPr>
        <w:t xml:space="preserve">, </w:t>
      </w:r>
      <w:r w:rsidR="00F9068E">
        <w:rPr>
          <w:rStyle w:val="normaltextrun"/>
          <w:rFonts w:ascii="Calibri" w:hAnsi="Calibri"/>
          <w:iCs/>
          <w:color w:val="000000"/>
          <w:shd w:val="clear" w:color="auto" w:fill="FFFFFF"/>
        </w:rPr>
        <w:t>in which he calls</w:t>
      </w:r>
      <w:r w:rsidR="0057590A">
        <w:rPr>
          <w:rStyle w:val="normaltextrun"/>
          <w:rFonts w:ascii="Calibri" w:hAnsi="Calibri"/>
          <w:iCs/>
          <w:color w:val="000000"/>
          <w:shd w:val="clear" w:color="auto" w:fill="FFFFFF"/>
        </w:rPr>
        <w:t xml:space="preserve"> out not just to Philoctetes but to Northern Ireland as a whole,</w:t>
      </w:r>
    </w:p>
    <w:p w14:paraId="2A834872" w14:textId="42B48980" w:rsidR="0057590A" w:rsidRDefault="0057590A" w:rsidP="0057590A">
      <w:pPr>
        <w:spacing w:line="276" w:lineRule="auto"/>
        <w:jc w:val="center"/>
        <w:rPr>
          <w:rStyle w:val="normaltextrun"/>
          <w:rFonts w:ascii="Calibri" w:hAnsi="Calibri"/>
          <w:iCs/>
          <w:color w:val="000000"/>
          <w:shd w:val="clear" w:color="auto" w:fill="FFFFFF"/>
        </w:rPr>
      </w:pPr>
      <w:r>
        <w:rPr>
          <w:rStyle w:val="normaltextrun"/>
          <w:rFonts w:ascii="Calibri" w:hAnsi="Calibri"/>
          <w:iCs/>
          <w:color w:val="000000"/>
          <w:shd w:val="clear" w:color="auto" w:fill="FFFFFF"/>
        </w:rPr>
        <w:t xml:space="preserve">“Hope for a great sea-change, </w:t>
      </w:r>
    </w:p>
    <w:p w14:paraId="230BCB65" w14:textId="24DF87E2" w:rsidR="0057590A" w:rsidRDefault="0057590A" w:rsidP="0057590A">
      <w:pPr>
        <w:spacing w:line="276" w:lineRule="auto"/>
        <w:jc w:val="center"/>
        <w:rPr>
          <w:rStyle w:val="normaltextrun"/>
          <w:rFonts w:ascii="Calibri" w:hAnsi="Calibri"/>
          <w:iCs/>
          <w:color w:val="000000"/>
          <w:shd w:val="clear" w:color="auto" w:fill="FFFFFF"/>
        </w:rPr>
      </w:pPr>
      <w:r>
        <w:rPr>
          <w:rStyle w:val="normaltextrun"/>
          <w:rFonts w:ascii="Calibri" w:hAnsi="Calibri"/>
          <w:iCs/>
          <w:color w:val="000000"/>
          <w:shd w:val="clear" w:color="auto" w:fill="FFFFFF"/>
        </w:rPr>
        <w:t>On the far side of revenge.”</w:t>
      </w:r>
      <w:r w:rsidR="00D02646">
        <w:rPr>
          <w:rStyle w:val="normaltextrun"/>
          <w:rFonts w:ascii="Calibri" w:hAnsi="Calibri"/>
          <w:iCs/>
          <w:color w:val="000000"/>
          <w:shd w:val="clear" w:color="auto" w:fill="FFFFFF"/>
        </w:rPr>
        <w:t xml:space="preserve"> </w:t>
      </w:r>
    </w:p>
    <w:p w14:paraId="49A519F5" w14:textId="1B28AA83" w:rsidR="0057590A" w:rsidRDefault="0057590A" w:rsidP="0057590A">
      <w:pPr>
        <w:spacing w:line="276" w:lineRule="auto"/>
        <w:rPr>
          <w:rStyle w:val="normaltextrun"/>
          <w:rFonts w:ascii="Calibri" w:hAnsi="Calibri"/>
          <w:iCs/>
          <w:color w:val="000000"/>
          <w:shd w:val="clear" w:color="auto" w:fill="FFFFFF"/>
        </w:rPr>
      </w:pPr>
      <w:r>
        <w:rPr>
          <w:rStyle w:val="normaltextrun"/>
          <w:rFonts w:ascii="Calibri" w:hAnsi="Calibri"/>
          <w:iCs/>
          <w:color w:val="000000"/>
          <w:shd w:val="clear" w:color="auto" w:fill="FFFFFF"/>
        </w:rPr>
        <w:t xml:space="preserve">The </w:t>
      </w:r>
      <w:r w:rsidR="00F9068E">
        <w:rPr>
          <w:rStyle w:val="normaltextrun"/>
          <w:rFonts w:ascii="Calibri" w:hAnsi="Calibri"/>
          <w:iCs/>
          <w:color w:val="000000"/>
          <w:shd w:val="clear" w:color="auto" w:fill="FFFFFF"/>
        </w:rPr>
        <w:t>preceding lines, that sometimes</w:t>
      </w:r>
      <w:r>
        <w:rPr>
          <w:rStyle w:val="normaltextrun"/>
          <w:rFonts w:ascii="Calibri" w:hAnsi="Calibri"/>
          <w:iCs/>
          <w:color w:val="000000"/>
          <w:shd w:val="clear" w:color="auto" w:fill="FFFFFF"/>
        </w:rPr>
        <w:t xml:space="preserve"> “hope and history rhyme”</w:t>
      </w:r>
      <w:r w:rsidR="00F9068E">
        <w:rPr>
          <w:rStyle w:val="normaltextrun"/>
          <w:rFonts w:ascii="Calibri" w:hAnsi="Calibri"/>
          <w:iCs/>
          <w:color w:val="000000"/>
          <w:shd w:val="clear" w:color="auto" w:fill="FFFFFF"/>
        </w:rPr>
        <w:t xml:space="preserve">, </w:t>
      </w:r>
      <w:r w:rsidR="008418FD">
        <w:rPr>
          <w:rStyle w:val="normaltextrun"/>
          <w:rFonts w:ascii="Calibri" w:hAnsi="Calibri"/>
          <w:iCs/>
          <w:color w:val="000000"/>
          <w:shd w:val="clear" w:color="auto" w:fill="FFFFFF"/>
        </w:rPr>
        <w:t xml:space="preserve">became emblematic of the peace </w:t>
      </w:r>
      <w:r w:rsidR="00F9068E">
        <w:rPr>
          <w:rStyle w:val="normaltextrun"/>
          <w:rFonts w:ascii="Calibri" w:hAnsi="Calibri"/>
          <w:iCs/>
          <w:color w:val="000000"/>
          <w:shd w:val="clear" w:color="auto" w:fill="FFFFFF"/>
        </w:rPr>
        <w:t>process, quoted by figures such as Gerry Adams and Bill Clinton</w:t>
      </w:r>
      <w:r w:rsidR="00D02646">
        <w:rPr>
          <w:rStyle w:val="FootnoteReference"/>
          <w:rFonts w:ascii="Calibri" w:hAnsi="Calibri"/>
          <w:iCs/>
          <w:color w:val="000000"/>
          <w:shd w:val="clear" w:color="auto" w:fill="FFFFFF"/>
        </w:rPr>
        <w:footnoteReference w:id="8"/>
      </w:r>
      <w:r w:rsidR="00F9068E">
        <w:rPr>
          <w:rStyle w:val="normaltextrun"/>
          <w:rFonts w:ascii="Calibri" w:hAnsi="Calibri"/>
          <w:iCs/>
          <w:color w:val="000000"/>
          <w:shd w:val="clear" w:color="auto" w:fill="FFFFFF"/>
        </w:rPr>
        <w:t xml:space="preserve">, proving both the transformative powers of art itself to encourage and find a solution, but also the power of the Classical medium, able to relate indiscriminately to both Protestants and Catholics in Ireland, and to people around the world. </w:t>
      </w:r>
    </w:p>
    <w:p w14:paraId="39DDA394" w14:textId="77404444" w:rsidR="00F9068E" w:rsidRDefault="007F7704" w:rsidP="0057590A">
      <w:pPr>
        <w:spacing w:line="276" w:lineRule="auto"/>
        <w:rPr>
          <w:rStyle w:val="normaltextrun"/>
          <w:rFonts w:ascii="Calibri" w:hAnsi="Calibri"/>
          <w:iCs/>
          <w:color w:val="000000"/>
          <w:shd w:val="clear" w:color="auto" w:fill="FFFFFF"/>
        </w:rPr>
      </w:pPr>
      <w:r>
        <w:rPr>
          <w:rStyle w:val="normaltextrun"/>
          <w:rFonts w:ascii="Calibri" w:hAnsi="Calibri"/>
          <w:iCs/>
          <w:color w:val="000000"/>
          <w:shd w:val="clear" w:color="auto" w:fill="FFFFFF"/>
        </w:rPr>
        <w:t xml:space="preserve">In </w:t>
      </w:r>
      <w:r>
        <w:rPr>
          <w:rStyle w:val="normaltextrun"/>
          <w:rFonts w:ascii="Calibri" w:hAnsi="Calibri"/>
          <w:i/>
          <w:iCs/>
          <w:color w:val="000000"/>
          <w:shd w:val="clear" w:color="auto" w:fill="FFFFFF"/>
        </w:rPr>
        <w:t>The Cure at Troy</w:t>
      </w:r>
      <w:r>
        <w:rPr>
          <w:rStyle w:val="normaltextrun"/>
          <w:rFonts w:ascii="Calibri" w:hAnsi="Calibri"/>
          <w:iCs/>
          <w:color w:val="000000"/>
          <w:shd w:val="clear" w:color="auto" w:fill="FFFFFF"/>
        </w:rPr>
        <w:t xml:space="preserve">, Neoptolemus also represents many, like Heaney himself, who were caught in the conflict between personal and political loyalty. In response to Odysseus questioning his patriotism as a Greek, Neoptolemus replies, “the jurisdiction I am under here is Justice herself. She isn’t only Greek.” Such a conflict is central to Sophocles’ </w:t>
      </w:r>
      <w:r>
        <w:rPr>
          <w:rStyle w:val="normaltextrun"/>
          <w:rFonts w:ascii="Calibri" w:hAnsi="Calibri"/>
          <w:i/>
          <w:iCs/>
          <w:color w:val="000000"/>
          <w:shd w:val="clear" w:color="auto" w:fill="FFFFFF"/>
        </w:rPr>
        <w:t>Antigone</w:t>
      </w:r>
      <w:r>
        <w:rPr>
          <w:rStyle w:val="normaltextrun"/>
          <w:rFonts w:ascii="Calibri" w:hAnsi="Calibri"/>
          <w:iCs/>
          <w:color w:val="000000"/>
          <w:shd w:val="clear" w:color="auto" w:fill="FFFFFF"/>
        </w:rPr>
        <w:t xml:space="preserve">, which Heaney translated in 2004 with his play </w:t>
      </w:r>
      <w:r>
        <w:rPr>
          <w:rStyle w:val="normaltextrun"/>
          <w:rFonts w:ascii="Calibri" w:hAnsi="Calibri"/>
          <w:i/>
          <w:iCs/>
          <w:color w:val="000000"/>
          <w:shd w:val="clear" w:color="auto" w:fill="FFFFFF"/>
        </w:rPr>
        <w:t>The Burial at Thebes</w:t>
      </w:r>
      <w:r w:rsidR="00951DA8">
        <w:rPr>
          <w:rStyle w:val="normaltextrun"/>
          <w:rFonts w:ascii="Calibri" w:hAnsi="Calibri"/>
          <w:iCs/>
          <w:color w:val="000000"/>
          <w:shd w:val="clear" w:color="auto" w:fill="FFFFFF"/>
        </w:rPr>
        <w:t>, as t</w:t>
      </w:r>
      <w:r>
        <w:rPr>
          <w:rStyle w:val="normaltextrun"/>
          <w:rFonts w:ascii="Calibri" w:hAnsi="Calibri"/>
          <w:iCs/>
          <w:color w:val="000000"/>
          <w:shd w:val="clear" w:color="auto" w:fill="FFFFFF"/>
        </w:rPr>
        <w:t xml:space="preserve">he Bush-esque </w:t>
      </w:r>
      <w:r w:rsidR="00951DA8">
        <w:rPr>
          <w:rStyle w:val="normaltextrun"/>
          <w:rFonts w:ascii="Calibri" w:hAnsi="Calibri"/>
          <w:iCs/>
          <w:color w:val="000000"/>
          <w:shd w:val="clear" w:color="auto" w:fill="FFFFFF"/>
        </w:rPr>
        <w:t>Creon states</w:t>
      </w:r>
      <w:r>
        <w:rPr>
          <w:rStyle w:val="normaltextrun"/>
          <w:rFonts w:ascii="Calibri" w:hAnsi="Calibri"/>
          <w:iCs/>
          <w:color w:val="000000"/>
          <w:shd w:val="clear" w:color="auto" w:fill="FFFFFF"/>
        </w:rPr>
        <w:t xml:space="preserve"> that “for the patriot, personal loyalty must always give way to patriotic duty”, with even the word “duty” encapsulating the </w:t>
      </w:r>
      <w:r w:rsidR="00951DA8">
        <w:rPr>
          <w:rStyle w:val="normaltextrun"/>
          <w:rFonts w:ascii="Calibri" w:hAnsi="Calibri"/>
          <w:iCs/>
          <w:color w:val="000000"/>
          <w:shd w:val="clear" w:color="auto" w:fill="FFFFFF"/>
        </w:rPr>
        <w:t xml:space="preserve">sense of obligation he conveys. For Antigone, however, this is not justice: in burying Polyneices, she abides “by statutes utter and immutable – unwritten, original, god-given laws”, even by religion itself. The complications and ambiguities surrounding justice were also central to the Troubles, particularly in the context of the 1981 hunger strikers in the Maze Prison. Within this, Creon’s intransigence reflects that of Margaret Thatcher, refusing to change the law to appease perceived criminals, even in the face of growing popular opposition. </w:t>
      </w:r>
      <w:r w:rsidR="001E3FC9">
        <w:rPr>
          <w:rStyle w:val="normaltextrun"/>
          <w:rFonts w:ascii="Calibri" w:hAnsi="Calibri"/>
          <w:iCs/>
          <w:color w:val="000000"/>
          <w:shd w:val="clear" w:color="auto" w:fill="FFFFFF"/>
        </w:rPr>
        <w:t>In response to the prisoner’s demands for political status, she stated, “Crime is crime is crime. It is not political. It is crime and there can be no question of granting political status.”</w:t>
      </w:r>
      <w:r w:rsidR="00D02646">
        <w:rPr>
          <w:rStyle w:val="FootnoteReference"/>
          <w:rFonts w:ascii="Calibri" w:hAnsi="Calibri"/>
          <w:iCs/>
          <w:color w:val="000000"/>
          <w:shd w:val="clear" w:color="auto" w:fill="FFFFFF"/>
        </w:rPr>
        <w:footnoteReference w:id="9"/>
      </w:r>
      <w:r w:rsidR="001E3FC9">
        <w:rPr>
          <w:rStyle w:val="normaltextrun"/>
          <w:rFonts w:ascii="Calibri" w:hAnsi="Calibri"/>
          <w:iCs/>
          <w:color w:val="000000"/>
          <w:shd w:val="clear" w:color="auto" w:fill="FFFFFF"/>
        </w:rPr>
        <w:t xml:space="preserve"> Meanwhile, Creon promises “never to grant traitors and subversives equal footing with loyal citizens”</w:t>
      </w:r>
      <w:r w:rsidR="00951DA8">
        <w:rPr>
          <w:rStyle w:val="normaltextrun"/>
          <w:rFonts w:ascii="Calibri" w:hAnsi="Calibri"/>
          <w:iCs/>
          <w:color w:val="000000"/>
          <w:shd w:val="clear" w:color="auto" w:fill="FFFFFF"/>
        </w:rPr>
        <w:t xml:space="preserve"> </w:t>
      </w:r>
      <w:r w:rsidR="001E3FC9">
        <w:rPr>
          <w:rStyle w:val="normaltextrun"/>
          <w:rFonts w:ascii="Calibri" w:hAnsi="Calibri"/>
          <w:iCs/>
          <w:color w:val="000000"/>
          <w:shd w:val="clear" w:color="auto" w:fill="FFFFFF"/>
        </w:rPr>
        <w:t xml:space="preserve">as explanation for his refusal to allow Polyneices a burial. To emphasise </w:t>
      </w:r>
      <w:r w:rsidR="00176280">
        <w:rPr>
          <w:rStyle w:val="normaltextrun"/>
          <w:rFonts w:ascii="Calibri" w:hAnsi="Calibri"/>
          <w:iCs/>
          <w:color w:val="000000"/>
          <w:shd w:val="clear" w:color="auto" w:fill="FFFFFF"/>
        </w:rPr>
        <w:t xml:space="preserve">this </w:t>
      </w:r>
      <w:r w:rsidR="00176280">
        <w:rPr>
          <w:rStyle w:val="normaltextrun"/>
          <w:rFonts w:ascii="Calibri" w:hAnsi="Calibri"/>
          <w:iCs/>
          <w:color w:val="000000"/>
          <w:shd w:val="clear" w:color="auto" w:fill="FFFFFF"/>
        </w:rPr>
        <w:lastRenderedPageBreak/>
        <w:t>parallel between Creon and Thatcher</w:t>
      </w:r>
      <w:r w:rsidR="001E3FC9">
        <w:rPr>
          <w:rStyle w:val="normaltextrun"/>
          <w:rFonts w:ascii="Calibri" w:hAnsi="Calibri"/>
          <w:iCs/>
          <w:color w:val="000000"/>
          <w:shd w:val="clear" w:color="auto" w:fill="FFFFFF"/>
        </w:rPr>
        <w:t xml:space="preserve">, </w:t>
      </w:r>
      <w:r w:rsidR="00176280">
        <w:rPr>
          <w:rStyle w:val="normaltextrun"/>
          <w:rFonts w:ascii="Calibri" w:hAnsi="Calibri"/>
          <w:iCs/>
          <w:color w:val="000000"/>
          <w:shd w:val="clear" w:color="auto" w:fill="FFFFFF"/>
        </w:rPr>
        <w:t>Creon speaks in iambic pentameter</w:t>
      </w:r>
      <w:r w:rsidR="001E3FC9">
        <w:rPr>
          <w:rStyle w:val="normaltextrun"/>
          <w:rFonts w:ascii="Calibri" w:hAnsi="Calibri"/>
          <w:iCs/>
          <w:color w:val="000000"/>
          <w:shd w:val="clear" w:color="auto" w:fill="FFFFFF"/>
        </w:rPr>
        <w:t xml:space="preserve">, a traditionally English and potentially anachronistic meter, to express his hostile conservatism. </w:t>
      </w:r>
      <w:r w:rsidR="00176280">
        <w:rPr>
          <w:rStyle w:val="normaltextrun"/>
          <w:rFonts w:ascii="Calibri" w:hAnsi="Calibri"/>
          <w:iCs/>
          <w:color w:val="000000"/>
          <w:shd w:val="clear" w:color="auto" w:fill="FFFFFF"/>
        </w:rPr>
        <w:t xml:space="preserve">The applicability of </w:t>
      </w:r>
      <w:r w:rsidR="00176280">
        <w:rPr>
          <w:rStyle w:val="normaltextrun"/>
          <w:rFonts w:ascii="Calibri" w:hAnsi="Calibri"/>
          <w:i/>
          <w:iCs/>
          <w:color w:val="000000"/>
          <w:shd w:val="clear" w:color="auto" w:fill="FFFFFF"/>
        </w:rPr>
        <w:t>Th</w:t>
      </w:r>
      <w:r w:rsidR="001E3FC9">
        <w:rPr>
          <w:rStyle w:val="normaltextrun"/>
          <w:rFonts w:ascii="Calibri" w:hAnsi="Calibri"/>
          <w:i/>
          <w:iCs/>
          <w:color w:val="000000"/>
          <w:shd w:val="clear" w:color="auto" w:fill="FFFFFF"/>
        </w:rPr>
        <w:t xml:space="preserve">e Burial at Thebes </w:t>
      </w:r>
      <w:r w:rsidR="001E3FC9">
        <w:rPr>
          <w:rStyle w:val="normaltextrun"/>
          <w:rFonts w:ascii="Calibri" w:hAnsi="Calibri"/>
          <w:iCs/>
          <w:color w:val="000000"/>
          <w:shd w:val="clear" w:color="auto" w:fill="FFFFFF"/>
        </w:rPr>
        <w:t>to Ireland</w:t>
      </w:r>
      <w:r w:rsidR="00176280">
        <w:rPr>
          <w:rStyle w:val="normaltextrun"/>
          <w:rFonts w:ascii="Calibri" w:hAnsi="Calibri"/>
          <w:iCs/>
          <w:color w:val="000000"/>
          <w:shd w:val="clear" w:color="auto" w:fill="FFFFFF"/>
        </w:rPr>
        <w:t xml:space="preserve"> is reiterated by</w:t>
      </w:r>
      <w:r w:rsidR="001E3FC9">
        <w:rPr>
          <w:rStyle w:val="normaltextrun"/>
          <w:rFonts w:ascii="Calibri" w:hAnsi="Calibri"/>
          <w:iCs/>
          <w:color w:val="000000"/>
          <w:shd w:val="clear" w:color="auto" w:fill="FFFFFF"/>
        </w:rPr>
        <w:t xml:space="preserve"> the idea of brother fighting brother, “their father’s sons”</w:t>
      </w:r>
      <w:r w:rsidR="00176280">
        <w:rPr>
          <w:rStyle w:val="normaltextrun"/>
          <w:rFonts w:ascii="Calibri" w:hAnsi="Calibri"/>
          <w:iCs/>
          <w:color w:val="000000"/>
          <w:shd w:val="clear" w:color="auto" w:fill="FFFFFF"/>
        </w:rPr>
        <w:t xml:space="preserve"> falling together; this </w:t>
      </w:r>
      <w:r w:rsidR="001E3FC9">
        <w:rPr>
          <w:rStyle w:val="normaltextrun"/>
          <w:rFonts w:ascii="Calibri" w:hAnsi="Calibri"/>
          <w:iCs/>
          <w:color w:val="000000"/>
          <w:shd w:val="clear" w:color="auto" w:fill="FFFFFF"/>
        </w:rPr>
        <w:t xml:space="preserve">conveys the idea of </w:t>
      </w:r>
      <w:r w:rsidR="006D1A46">
        <w:rPr>
          <w:rStyle w:val="normaltextrun"/>
          <w:rFonts w:ascii="Calibri" w:hAnsi="Calibri"/>
          <w:iCs/>
          <w:color w:val="000000"/>
          <w:shd w:val="clear" w:color="auto" w:fill="FFFFFF"/>
        </w:rPr>
        <w:t xml:space="preserve">the </w:t>
      </w:r>
      <w:r w:rsidR="008418FD">
        <w:rPr>
          <w:rStyle w:val="normaltextrun"/>
          <w:rFonts w:ascii="Calibri" w:hAnsi="Calibri"/>
          <w:iCs/>
          <w:color w:val="000000"/>
          <w:shd w:val="clear" w:color="auto" w:fill="FFFFFF"/>
        </w:rPr>
        <w:t>one nation divided by sectarianism</w:t>
      </w:r>
      <w:r w:rsidR="006D1A46">
        <w:rPr>
          <w:rStyle w:val="normaltextrun"/>
          <w:rFonts w:ascii="Calibri" w:hAnsi="Calibri"/>
          <w:iCs/>
          <w:color w:val="000000"/>
          <w:shd w:val="clear" w:color="auto" w:fill="FFFFFF"/>
        </w:rPr>
        <w:t xml:space="preserve">, while the brothers </w:t>
      </w:r>
      <w:r w:rsidR="00176280">
        <w:rPr>
          <w:rStyle w:val="normaltextrun"/>
          <w:rFonts w:ascii="Calibri" w:hAnsi="Calibri"/>
          <w:iCs/>
          <w:color w:val="000000"/>
          <w:shd w:val="clear" w:color="auto" w:fill="FFFFFF"/>
        </w:rPr>
        <w:t>can be interpreted as an allusion</w:t>
      </w:r>
      <w:r w:rsidR="006D1A46">
        <w:rPr>
          <w:rStyle w:val="normaltextrun"/>
          <w:rFonts w:ascii="Calibri" w:hAnsi="Calibri"/>
          <w:iCs/>
          <w:color w:val="000000"/>
          <w:shd w:val="clear" w:color="auto" w:fill="FFFFFF"/>
        </w:rPr>
        <w:t xml:space="preserve"> to the Irish Republican Brotherhood, the precursor to the IRA. However, as many critics have pointed out, it is also a play condemning Bush’s war on terror, with Creon stating, “he terrorised us” and “I’ll flush ’em out”</w:t>
      </w:r>
      <w:r w:rsidR="00176280">
        <w:rPr>
          <w:rStyle w:val="normaltextrun"/>
          <w:rFonts w:ascii="Calibri" w:hAnsi="Calibri"/>
          <w:iCs/>
          <w:color w:val="000000"/>
          <w:shd w:val="clear" w:color="auto" w:fill="FFFFFF"/>
        </w:rPr>
        <w:t xml:space="preserve">, </w:t>
      </w:r>
      <w:r w:rsidR="00A12721">
        <w:rPr>
          <w:rStyle w:val="normaltextrun"/>
          <w:rFonts w:ascii="Calibri" w:hAnsi="Calibri"/>
          <w:iCs/>
          <w:color w:val="000000"/>
          <w:shd w:val="clear" w:color="auto" w:fill="FFFFFF"/>
        </w:rPr>
        <w:t>which Heaney describes as a “Bushism”</w:t>
      </w:r>
      <w:r w:rsidR="00A12721">
        <w:rPr>
          <w:rStyle w:val="FootnoteReference"/>
          <w:rFonts w:ascii="Calibri" w:hAnsi="Calibri"/>
          <w:iCs/>
          <w:color w:val="000000"/>
          <w:shd w:val="clear" w:color="auto" w:fill="FFFFFF"/>
        </w:rPr>
        <w:footnoteReference w:id="10"/>
      </w:r>
      <w:r w:rsidR="00A12721">
        <w:rPr>
          <w:rStyle w:val="normaltextrun"/>
          <w:rFonts w:ascii="Calibri" w:hAnsi="Calibri"/>
          <w:iCs/>
          <w:color w:val="000000"/>
          <w:shd w:val="clear" w:color="auto" w:fill="FFFFFF"/>
        </w:rPr>
        <w:t>, while noting that “here and there the word ‘patriot’ is employed with a definite neo-conservative righteousness”</w:t>
      </w:r>
      <w:r w:rsidR="00A12721">
        <w:rPr>
          <w:rStyle w:val="FootnoteReference"/>
          <w:rFonts w:ascii="Calibri" w:hAnsi="Calibri"/>
          <w:iCs/>
          <w:color w:val="000000"/>
          <w:shd w:val="clear" w:color="auto" w:fill="FFFFFF"/>
        </w:rPr>
        <w:footnoteReference w:id="11"/>
      </w:r>
      <w:r w:rsidR="006D1A46">
        <w:rPr>
          <w:rStyle w:val="normaltextrun"/>
          <w:rFonts w:ascii="Calibri" w:hAnsi="Calibri"/>
          <w:iCs/>
          <w:color w:val="000000"/>
          <w:shd w:val="clear" w:color="auto" w:fill="FFFFFF"/>
        </w:rPr>
        <w:t xml:space="preserve">. Again, this applicability of Greek tragedy to so many situations proves its relevance in today’s world, and how much it is possible to learn from it. </w:t>
      </w:r>
    </w:p>
    <w:p w14:paraId="639340C5" w14:textId="6E306A89" w:rsidR="003562AE" w:rsidRDefault="008C4B39" w:rsidP="00290DF5">
      <w:pPr>
        <w:spacing w:line="276" w:lineRule="auto"/>
      </w:pPr>
      <w:r w:rsidRPr="0024048E">
        <w:t xml:space="preserve">Heaney’s translation of </w:t>
      </w:r>
      <w:r w:rsidRPr="0024048E">
        <w:rPr>
          <w:i/>
        </w:rPr>
        <w:t>Aeneid Book VI</w:t>
      </w:r>
      <w:r w:rsidRPr="0024048E">
        <w:t xml:space="preserve"> marked the culmination of a lifelong interest, punctuated by poems such as </w:t>
      </w:r>
      <w:r w:rsidRPr="0024048E">
        <w:rPr>
          <w:i/>
        </w:rPr>
        <w:t>Route 110</w:t>
      </w:r>
      <w:r w:rsidR="006D1A46" w:rsidRPr="0024048E">
        <w:t xml:space="preserve"> and </w:t>
      </w:r>
      <w:r w:rsidR="006D1A46" w:rsidRPr="0024048E">
        <w:rPr>
          <w:i/>
        </w:rPr>
        <w:t>The Golden Bough</w:t>
      </w:r>
      <w:r w:rsidR="006D1A46" w:rsidRPr="0024048E">
        <w:t xml:space="preserve">. </w:t>
      </w:r>
      <w:r w:rsidR="001E3B87" w:rsidRPr="0024048E">
        <w:t>His final work, i</w:t>
      </w:r>
      <w:r w:rsidR="006D1A46" w:rsidRPr="0024048E">
        <w:t xml:space="preserve">t </w:t>
      </w:r>
      <w:r w:rsidR="001E3B87" w:rsidRPr="0024048E">
        <w:t>was</w:t>
      </w:r>
      <w:r w:rsidR="006D1A46" w:rsidRPr="0024048E">
        <w:t xml:space="preserve"> also an</w:t>
      </w:r>
      <w:r w:rsidR="001E3B87" w:rsidRPr="0024048E">
        <w:t xml:space="preserve"> apt conclusion</w:t>
      </w:r>
      <w:r w:rsidR="008418FD" w:rsidRPr="0024048E">
        <w:t xml:space="preserve"> to his life</w:t>
      </w:r>
      <w:r w:rsidR="001E3B87" w:rsidRPr="0024048E">
        <w:t>; just like Virgil, Heaney</w:t>
      </w:r>
      <w:r w:rsidR="001E3B87">
        <w:t xml:space="preserve"> died before it was published, leaving it complete but perhaps not </w:t>
      </w:r>
      <w:r w:rsidR="00F277A4">
        <w:t xml:space="preserve">quite </w:t>
      </w:r>
      <w:r w:rsidR="001E3B87">
        <w:t xml:space="preserve">finished. </w:t>
      </w:r>
      <w:r w:rsidR="00F277A4">
        <w:t xml:space="preserve">In addition, it balanced an Irish focus with a universal relevance, less explicitly political than plays such as </w:t>
      </w:r>
      <w:r w:rsidR="00F277A4">
        <w:rPr>
          <w:i/>
        </w:rPr>
        <w:t xml:space="preserve">The Cure at Troy </w:t>
      </w:r>
      <w:r w:rsidR="00F277A4">
        <w:t xml:space="preserve">and </w:t>
      </w:r>
      <w:r w:rsidR="00F277A4">
        <w:rPr>
          <w:i/>
        </w:rPr>
        <w:t>The Burial at Thebes</w:t>
      </w:r>
      <w:r w:rsidR="00F277A4">
        <w:t xml:space="preserve">. </w:t>
      </w:r>
      <w:r w:rsidR="003562AE">
        <w:t>In Book VI, Virgil’s word “labores”</w:t>
      </w:r>
      <w:r w:rsidR="003562AE">
        <w:rPr>
          <w:rStyle w:val="FootnoteReference"/>
        </w:rPr>
        <w:footnoteReference w:id="12"/>
      </w:r>
      <w:r w:rsidR="003562AE">
        <w:t xml:space="preserve">, used to describe the hardship faced by the Trojans, has been translated variably by many different scholars. West chose the phrase, “the cruel sufferings”, while Fairclough favoured “Troy’s sore agony”, conveying a sense of raw, intense pain. Heaney, by contrast, translated it as </w:t>
      </w:r>
      <w:r w:rsidR="00305BBD">
        <w:t>“Troy and her troubles</w:t>
      </w:r>
      <w:r w:rsidR="00305BBD" w:rsidRPr="0024048E">
        <w:t>”</w:t>
      </w:r>
      <w:r w:rsidR="005020C6" w:rsidRPr="0024048E">
        <w:rPr>
          <w:rStyle w:val="FootnoteReference"/>
        </w:rPr>
        <w:footnoteReference w:id="13"/>
      </w:r>
      <w:r w:rsidR="00305BBD" w:rsidRPr="0024048E">
        <w:t xml:space="preserve">, </w:t>
      </w:r>
      <w:r w:rsidR="008623E0" w:rsidRPr="0024048E">
        <w:t xml:space="preserve">echoing Yeats’ 1928 translation of </w:t>
      </w:r>
      <w:r w:rsidR="008623E0" w:rsidRPr="0024048E">
        <w:rPr>
          <w:i/>
        </w:rPr>
        <w:t>Sophocles’ King Oedipus: A Modern Version for the Stage</w:t>
      </w:r>
      <w:r w:rsidR="008623E0" w:rsidRPr="0024048E">
        <w:t>, in which Creon’s line “We were amid our troubles”, serves as an explanation for the lack of investigation into Laius’ death.</w:t>
      </w:r>
      <w:r w:rsidR="004551DF">
        <w:t xml:space="preserve"> In this way, Heaney identifies</w:t>
      </w:r>
      <w:r w:rsidR="00305BBD">
        <w:t xml:space="preserve"> a clear link between the embattled Trojans, searching for a homeland, and the Irish, desperate to reclaim theirs</w:t>
      </w:r>
      <w:r w:rsidR="008623E0">
        <w:t xml:space="preserve">. </w:t>
      </w:r>
      <w:r w:rsidR="003562AE">
        <w:t xml:space="preserve">Heaney’s translation, in fact, is recognisably Irish; </w:t>
      </w:r>
      <w:r w:rsidR="001E3B87">
        <w:t>his</w:t>
      </w:r>
      <w:r w:rsidR="003562AE">
        <w:t xml:space="preserve"> Sibyl, that notable symbol of the Classical world, has facets of Kathleen Ni Houlihan, the mythical personification of Ireland and of Irish nationalism. </w:t>
      </w:r>
      <w:r w:rsidR="00F74A46">
        <w:t xml:space="preserve">In the traditional myth, Kathleen Ni Houlihan is known for luring young Irish </w:t>
      </w:r>
      <w:r w:rsidR="00F74A46" w:rsidRPr="0024048E">
        <w:t xml:space="preserve">warriors </w:t>
      </w:r>
      <w:r w:rsidR="0024048E" w:rsidRPr="0024048E">
        <w:t xml:space="preserve">to </w:t>
      </w:r>
      <w:r w:rsidR="0024048E">
        <w:t>death in battle</w:t>
      </w:r>
      <w:r w:rsidR="00F74A46">
        <w:t xml:space="preserve">, just as it is the Sibyl who leads Aeneas into the Underworld. Furthermore, </w:t>
      </w:r>
      <w:r w:rsidR="003562AE">
        <w:t>Heaney compares Apollo’s subjugation of the Sibyl and her body to the relationship between England and Ireland: the Sibyl “resisting possession” is all too reminiscent of Ireland rebelling against English colonialism, with Apollo victorious as “he controls her, commands her and makes her his creature”,</w:t>
      </w:r>
      <w:r w:rsidR="003562AE" w:rsidRPr="004C76BD">
        <w:t xml:space="preserve"> </w:t>
      </w:r>
      <w:r w:rsidR="003562AE">
        <w:t>a symbol of both Roman and English imperialism.</w:t>
      </w:r>
      <w:r w:rsidR="002A5789">
        <w:t xml:space="preserve"> The idea that he is not just taking</w:t>
      </w:r>
      <w:r w:rsidR="00290DF5">
        <w:t xml:space="preserve"> control of that which she owns</w:t>
      </w:r>
      <w:r w:rsidR="002A5789">
        <w:t xml:space="preserve"> but </w:t>
      </w:r>
      <w:r w:rsidR="00290DF5">
        <w:t xml:space="preserve">also </w:t>
      </w:r>
      <w:r w:rsidR="002A5789">
        <w:t xml:space="preserve">of her body itself is a particularly brutal portrayal of imperialism, tying in with Heaney’s poem, </w:t>
      </w:r>
      <w:r w:rsidR="002A5789">
        <w:rPr>
          <w:i/>
        </w:rPr>
        <w:t>Ocean’s Love to Ireland</w:t>
      </w:r>
      <w:r w:rsidR="00290DF5">
        <w:t>,</w:t>
      </w:r>
      <w:r w:rsidR="002A5789">
        <w:t xml:space="preserve"> where he depicts Ireland as a victim of both geographical and sexual exploitation</w:t>
      </w:r>
      <w:r w:rsidR="00290DF5">
        <w:t xml:space="preserve"> with the lines, “Raleigh has backed the maid to a tree as Ireland is backed to England”</w:t>
      </w:r>
      <w:r w:rsidR="0043034E">
        <w:rPr>
          <w:rStyle w:val="FootnoteReference"/>
        </w:rPr>
        <w:footnoteReference w:id="14"/>
      </w:r>
      <w:r w:rsidR="00290DF5">
        <w:t xml:space="preserve">. </w:t>
      </w:r>
    </w:p>
    <w:p w14:paraId="3D7C49F5" w14:textId="5C4BCC0A" w:rsidR="00E2633C" w:rsidRDefault="006F2D93" w:rsidP="001F1007">
      <w:pPr>
        <w:spacing w:line="276" w:lineRule="auto"/>
      </w:pPr>
      <w:r>
        <w:t xml:space="preserve">The first few lines </w:t>
      </w:r>
      <w:r w:rsidRPr="00F277A4">
        <w:t xml:space="preserve">of </w:t>
      </w:r>
      <w:r w:rsidRPr="00F277A4">
        <w:rPr>
          <w:i/>
        </w:rPr>
        <w:t xml:space="preserve">Aeneid </w:t>
      </w:r>
      <w:r w:rsidR="00F74A46" w:rsidRPr="00F277A4">
        <w:rPr>
          <w:i/>
        </w:rPr>
        <w:t xml:space="preserve">Book </w:t>
      </w:r>
      <w:r w:rsidRPr="00F277A4">
        <w:rPr>
          <w:i/>
        </w:rPr>
        <w:t>VI</w:t>
      </w:r>
      <w:r w:rsidRPr="00F277A4">
        <w:t xml:space="preserve"> </w:t>
      </w:r>
      <w:r w:rsidR="003423AA" w:rsidRPr="00F277A4">
        <w:t>show</w:t>
      </w:r>
      <w:r w:rsidR="003423AA">
        <w:t xml:space="preserve"> the Trojans’ arrival in Italy: a momentous homecoming, </w:t>
      </w:r>
      <w:r w:rsidR="00B9096D">
        <w:t>reflected in an instant identification with the land itself. This is zealously</w:t>
      </w:r>
      <w:r w:rsidR="003423AA">
        <w:t xml:space="preserve"> captured by Heaney’</w:t>
      </w:r>
      <w:r w:rsidR="002913C7">
        <w:t xml:space="preserve">s description of the flint’s </w:t>
      </w:r>
      <w:r w:rsidR="003423AA">
        <w:t>“seedling fire … in its veins”</w:t>
      </w:r>
      <w:r w:rsidR="005020C6">
        <w:rPr>
          <w:rStyle w:val="FootnoteReference"/>
        </w:rPr>
        <w:footnoteReference w:id="15"/>
      </w:r>
      <w:r w:rsidR="002913C7">
        <w:t>,</w:t>
      </w:r>
      <w:r w:rsidR="003423AA">
        <w:t xml:space="preserve"> a sanguineous metaphor that </w:t>
      </w:r>
      <w:r w:rsidR="00B9096D">
        <w:t>imitates</w:t>
      </w:r>
      <w:r w:rsidR="003423AA">
        <w:t xml:space="preserve"> the Trojan “hotbloods”</w:t>
      </w:r>
      <w:r w:rsidR="005020C6">
        <w:rPr>
          <w:rStyle w:val="FootnoteReference"/>
        </w:rPr>
        <w:footnoteReference w:id="16"/>
      </w:r>
      <w:r w:rsidR="003423AA">
        <w:t xml:space="preserve"> of two lines earlier</w:t>
      </w:r>
      <w:r w:rsidR="003423AA" w:rsidRPr="00F277A4">
        <w:t>. Such a spiritual connection with the land</w:t>
      </w:r>
      <w:r w:rsidR="00472E9E" w:rsidRPr="00F277A4">
        <w:t xml:space="preserve"> is a theme of Irish </w:t>
      </w:r>
      <w:r w:rsidR="00472E9E" w:rsidRPr="00F277A4">
        <w:lastRenderedPageBreak/>
        <w:t xml:space="preserve">literature, acting as </w:t>
      </w:r>
      <w:r w:rsidR="00472E9E" w:rsidRPr="0024048E">
        <w:t>a sort of instinctual p</w:t>
      </w:r>
      <w:r w:rsidR="00636A4C" w:rsidRPr="0024048E">
        <w:t>assport to identify</w:t>
      </w:r>
      <w:r w:rsidR="00636A4C" w:rsidRPr="00F277A4">
        <w:t xml:space="preserve"> the Irish with</w:t>
      </w:r>
      <w:r w:rsidR="00472E9E" w:rsidRPr="00F277A4">
        <w:t xml:space="preserve"> their proper homeland</w:t>
      </w:r>
      <w:r w:rsidR="00FA5F7A" w:rsidRPr="00F277A4">
        <w:t>. Heaney incorporated this</w:t>
      </w:r>
      <w:r w:rsidR="00F74A46" w:rsidRPr="00F277A4">
        <w:t xml:space="preserve"> idea</w:t>
      </w:r>
      <w:r w:rsidR="00FA5F7A" w:rsidRPr="00F277A4">
        <w:t xml:space="preserve"> into</w:t>
      </w:r>
      <w:r w:rsidR="00636A4C" w:rsidRPr="00F277A4">
        <w:t xml:space="preserve"> </w:t>
      </w:r>
      <w:r w:rsidR="00636A4C" w:rsidRPr="00F277A4">
        <w:rPr>
          <w:i/>
        </w:rPr>
        <w:t>Digging</w:t>
      </w:r>
      <w:r w:rsidR="00636A4C" w:rsidRPr="00F277A4">
        <w:t>,</w:t>
      </w:r>
      <w:r w:rsidR="00FA5F7A" w:rsidRPr="00F277A4">
        <w:t xml:space="preserve"> the first poem of his</w:t>
      </w:r>
      <w:r w:rsidR="00F74A46" w:rsidRPr="00F277A4">
        <w:t xml:space="preserve"> first major published collection, </w:t>
      </w:r>
      <w:r w:rsidR="00F74A46" w:rsidRPr="00F277A4">
        <w:rPr>
          <w:i/>
        </w:rPr>
        <w:t>Death of a Naturalist</w:t>
      </w:r>
      <w:r w:rsidR="00FA5F7A" w:rsidRPr="00F277A4">
        <w:t>, where he praises the agricultural abilities of his father and grandfather</w:t>
      </w:r>
      <w:r w:rsidR="00E2633C">
        <w:t>:</w:t>
      </w:r>
    </w:p>
    <w:p w14:paraId="17E086D0" w14:textId="7D5F2163" w:rsidR="00461C89" w:rsidRDefault="00461C89" w:rsidP="00E2633C">
      <w:pPr>
        <w:spacing w:line="276" w:lineRule="auto"/>
        <w:jc w:val="center"/>
      </w:pPr>
      <w:r>
        <w:t>“</w:t>
      </w:r>
      <w:r w:rsidR="00FA5F7A">
        <w:t xml:space="preserve">By God, the old man could handle a spade. </w:t>
      </w:r>
    </w:p>
    <w:p w14:paraId="591C9937" w14:textId="54A9F9C9" w:rsidR="00E2633C" w:rsidRDefault="00FA5F7A" w:rsidP="00E2633C">
      <w:pPr>
        <w:spacing w:line="276" w:lineRule="auto"/>
        <w:jc w:val="center"/>
      </w:pPr>
      <w:r>
        <w:t xml:space="preserve">Just </w:t>
      </w:r>
      <w:r w:rsidR="00E959F3">
        <w:t>like his old man.”</w:t>
      </w:r>
      <w:r w:rsidR="005020C6">
        <w:rPr>
          <w:rStyle w:val="FootnoteReference"/>
        </w:rPr>
        <w:footnoteReference w:id="17"/>
      </w:r>
    </w:p>
    <w:p w14:paraId="3C85B43A" w14:textId="733E3D82" w:rsidR="00E2633C" w:rsidRDefault="00E959F3" w:rsidP="00E050D8">
      <w:pPr>
        <w:spacing w:line="276" w:lineRule="auto"/>
      </w:pPr>
      <w:r>
        <w:t>Heaney also uses such an innate natural affinity to characterise Antaeus, the son of Poseidon and Gaia</w:t>
      </w:r>
      <w:r w:rsidR="00251B5D">
        <w:t>, in his poem</w:t>
      </w:r>
      <w:r>
        <w:t xml:space="preserve"> </w:t>
      </w:r>
      <w:r>
        <w:rPr>
          <w:i/>
        </w:rPr>
        <w:t>Antaeus</w:t>
      </w:r>
      <w:r>
        <w:t>. Despite the savagery with which Antaeus is depicted in Greek mythology, with a temple decorated with the skulls of those he has defeated, Heaney portrays him as a slightly overindulged child, still “</w:t>
      </w:r>
      <w:r w:rsidR="00A12721">
        <w:t>cradled in the dark that wombed”</w:t>
      </w:r>
      <w:r w:rsidR="00251B5D">
        <w:t xml:space="preserve"> him, </w:t>
      </w:r>
      <w:r>
        <w:t xml:space="preserve">with a sense of youthful innocence capable of inducing sympathy. For Antaeus, the earth sustains him: its rejuvenating and regenerative properties are described as an “elixir”, causing him to state, “when I lie on the ground I rise flushed as a rose in the morning”, a poetic and romantic image far from the brutality of </w:t>
      </w:r>
      <w:r w:rsidR="005020C6">
        <w:t xml:space="preserve">the traditional myth of </w:t>
      </w:r>
      <w:r w:rsidR="001B58EF">
        <w:t>“</w:t>
      </w:r>
      <w:r w:rsidR="002E3B95">
        <w:t>saev</w:t>
      </w:r>
      <w:r w:rsidR="001B58EF">
        <w:t>o … Antaeo”</w:t>
      </w:r>
      <w:r w:rsidR="001B58EF">
        <w:rPr>
          <w:rStyle w:val="FootnoteReference"/>
        </w:rPr>
        <w:footnoteReference w:id="18"/>
      </w:r>
      <w:r>
        <w:t>.</w:t>
      </w:r>
      <w:r w:rsidR="00251B5D">
        <w:t xml:space="preserve"> Within this, Antaeus becomes a quasi-autobiographical figure: Heaney clearly identifies with him, as evidenced by his use of the first person voice throughout, while the physical energy that Antaeus achieves from the earth and the natural landscape reflects the poetic </w:t>
      </w:r>
      <w:r w:rsidR="00251B5D" w:rsidRPr="001E3B87">
        <w:t xml:space="preserve">energy that Heaney himself draws from the land in his Bog Poems, </w:t>
      </w:r>
      <w:r w:rsidR="00D30127" w:rsidRPr="001E3B87">
        <w:t>published</w:t>
      </w:r>
      <w:r w:rsidR="00251B5D" w:rsidRPr="001E3B87">
        <w:t xml:space="preserve"> in the same collection</w:t>
      </w:r>
      <w:r w:rsidR="00D30127" w:rsidRPr="001E3B87">
        <w:t>.</w:t>
      </w:r>
      <w:r w:rsidR="00251B5D" w:rsidRPr="001E3B87">
        <w:t xml:space="preserve"> </w:t>
      </w:r>
      <w:r w:rsidR="008C4B39" w:rsidRPr="001E3B87">
        <w:t xml:space="preserve">Such </w:t>
      </w:r>
      <w:r w:rsidR="001E3B87" w:rsidRPr="001E3B87">
        <w:t>earthly</w:t>
      </w:r>
      <w:r w:rsidR="008C4B39" w:rsidRPr="001E3B87">
        <w:t xml:space="preserve"> inspiration</w:t>
      </w:r>
      <w:r w:rsidR="00251B5D" w:rsidRPr="001E3B87">
        <w:t xml:space="preserve"> is a </w:t>
      </w:r>
      <w:r w:rsidR="00E632A7" w:rsidRPr="001E3B87">
        <w:t>common</w:t>
      </w:r>
      <w:r w:rsidR="00251B5D" w:rsidRPr="001E3B87">
        <w:t xml:space="preserve"> theme in Irish literature</w:t>
      </w:r>
      <w:r w:rsidR="008C4B39" w:rsidRPr="001E3B87">
        <w:t>, sym</w:t>
      </w:r>
      <w:r w:rsidR="008418FD">
        <w:t xml:space="preserve">bolising that connection with the </w:t>
      </w:r>
      <w:r w:rsidR="008C4B39" w:rsidRPr="001E3B87">
        <w:t xml:space="preserve">land itself, as Yeats expressed </w:t>
      </w:r>
      <w:r w:rsidR="00F525DD" w:rsidRPr="001E3B87">
        <w:t>in his poem</w:t>
      </w:r>
      <w:r w:rsidR="00251B5D" w:rsidRPr="001E3B87">
        <w:t xml:space="preserve"> </w:t>
      </w:r>
      <w:r w:rsidR="00251B5D" w:rsidRPr="001E3B87">
        <w:rPr>
          <w:i/>
        </w:rPr>
        <w:t>The Municipal Gallery Revisited</w:t>
      </w:r>
      <w:r w:rsidR="008C4B39" w:rsidRPr="001E3B87">
        <w:t>:</w:t>
      </w:r>
    </w:p>
    <w:p w14:paraId="67C3B668" w14:textId="5BD81DB3" w:rsidR="00E050D8" w:rsidRPr="00E050D8" w:rsidRDefault="00461C89" w:rsidP="00E050D8">
      <w:pPr>
        <w:spacing w:line="276" w:lineRule="auto"/>
        <w:jc w:val="center"/>
      </w:pPr>
      <w:r>
        <w:t>“</w:t>
      </w:r>
      <w:r w:rsidR="00E050D8" w:rsidRPr="00E050D8">
        <w:t>John Synge, I and Augusta Gregory, thought</w:t>
      </w:r>
    </w:p>
    <w:p w14:paraId="5A39AB4A" w14:textId="77777777" w:rsidR="00E050D8" w:rsidRPr="00E050D8" w:rsidRDefault="00E050D8" w:rsidP="00E050D8">
      <w:pPr>
        <w:spacing w:line="276" w:lineRule="auto"/>
        <w:jc w:val="center"/>
      </w:pPr>
      <w:r w:rsidRPr="00E050D8">
        <w:t>All that we did, all that we said or sang</w:t>
      </w:r>
    </w:p>
    <w:p w14:paraId="716D2B38" w14:textId="77777777" w:rsidR="00E050D8" w:rsidRPr="00E050D8" w:rsidRDefault="00E050D8" w:rsidP="00E050D8">
      <w:pPr>
        <w:spacing w:line="276" w:lineRule="auto"/>
        <w:jc w:val="center"/>
      </w:pPr>
      <w:r w:rsidRPr="00E050D8">
        <w:t>Must come from contact with the soil, from that</w:t>
      </w:r>
    </w:p>
    <w:p w14:paraId="44633AB9" w14:textId="2218B3DD" w:rsidR="00E2633C" w:rsidRDefault="00E050D8" w:rsidP="00E050D8">
      <w:pPr>
        <w:spacing w:line="276" w:lineRule="auto"/>
        <w:jc w:val="center"/>
      </w:pPr>
      <w:r w:rsidRPr="00E050D8">
        <w:t>Contact everything Antaeus-like grew strong.</w:t>
      </w:r>
      <w:r w:rsidR="00461C89">
        <w:t>”</w:t>
      </w:r>
      <w:r w:rsidR="00251B5D" w:rsidRPr="00E050D8">
        <w:t xml:space="preserve"> </w:t>
      </w:r>
      <w:r w:rsidR="005020C6">
        <w:rPr>
          <w:rStyle w:val="FootnoteReference"/>
        </w:rPr>
        <w:footnoteReference w:id="19"/>
      </w:r>
      <w:r w:rsidR="00251B5D" w:rsidRPr="00E050D8">
        <w:t xml:space="preserve">  </w:t>
      </w:r>
    </w:p>
    <w:p w14:paraId="76B0ECD3" w14:textId="399E1F81" w:rsidR="0028682F" w:rsidRPr="00E050D8" w:rsidRDefault="00E050D8" w:rsidP="00E050D8">
      <w:pPr>
        <w:spacing w:line="276" w:lineRule="auto"/>
      </w:pPr>
      <w:r>
        <w:t xml:space="preserve">Thus, to some extent, Antaeus as a character can be seen as symbolic of Irish literature, and of the struggle that it relates. At this point, the timing of Heaney’s poem </w:t>
      </w:r>
      <w:r>
        <w:rPr>
          <w:i/>
        </w:rPr>
        <w:t>Antaeus</w:t>
      </w:r>
      <w:r>
        <w:t xml:space="preserve"> becomes relevant: although written in 1966, before the start of the Troubles, it was published </w:t>
      </w:r>
      <w:r w:rsidR="008418FD">
        <w:t>as the opening poem of Part I of</w:t>
      </w:r>
      <w:r>
        <w:t xml:space="preserve"> his 1975 collection </w:t>
      </w:r>
      <w:r w:rsidRPr="00E050D8">
        <w:rPr>
          <w:i/>
        </w:rPr>
        <w:t>North</w:t>
      </w:r>
      <w:r>
        <w:t xml:space="preserve">, notable for containing some of his most political work. Part I ends with a reworking of </w:t>
      </w:r>
      <w:r>
        <w:rPr>
          <w:i/>
        </w:rPr>
        <w:t>Antaeus</w:t>
      </w:r>
      <w:r>
        <w:t xml:space="preserve">, titled </w:t>
      </w:r>
      <w:r>
        <w:rPr>
          <w:i/>
        </w:rPr>
        <w:t>Hercules and Antaeus</w:t>
      </w:r>
      <w:r w:rsidR="0028682F">
        <w:t xml:space="preserve">, which finalises the result of Hercules’ fight with Antaeus. Heaney’s original </w:t>
      </w:r>
      <w:r w:rsidR="0028682F" w:rsidRPr="0028682F">
        <w:rPr>
          <w:i/>
        </w:rPr>
        <w:t>Antaeus</w:t>
      </w:r>
      <w:r w:rsidR="0028682F">
        <w:t xml:space="preserve"> maintained ambiguity as to the result of this fight, using the subjunctives “may” and “let him” to hypothetically describe Hercules’ actions, and ending with the open-ended wordplay, “my elevation, my fall”.</w:t>
      </w:r>
      <w:r w:rsidR="00FD1436">
        <w:t xml:space="preserve"> Such a conclusion is made cryptic by the chasmic separation between the metaphorical and literal meanings of “elevation” and “fall” in relation to Antaeus; despite a “fall” typically suggesting a loss, particularly in Greek wrestling, with the objective of throwing the opponent to the ground, coming into contact with the earth would actually rejuvenate Antaeus, enabling him to win, while the metaphorical glory of an “elevation” would in reality weaken him. </w:t>
      </w:r>
      <w:r w:rsidR="0028682F">
        <w:t xml:space="preserve">However, in </w:t>
      </w:r>
      <w:r w:rsidR="0028682F">
        <w:rPr>
          <w:i/>
        </w:rPr>
        <w:t>Hercules and Antaeus</w:t>
      </w:r>
      <w:r w:rsidR="0028682F">
        <w:t xml:space="preserve">, Hercules’ victory is made clear already in the </w:t>
      </w:r>
      <w:r w:rsidR="009163BD">
        <w:t>opening words</w:t>
      </w:r>
      <w:r w:rsidR="0028682F">
        <w:t xml:space="preserve">, where he is </w:t>
      </w:r>
      <w:r w:rsidR="006D13CE">
        <w:t>introduced</w:t>
      </w:r>
      <w:r w:rsidR="0028682F">
        <w:t xml:space="preserve"> as “sky-born and royal”, fulfilling Antaeus’ </w:t>
      </w:r>
      <w:r w:rsidR="00B9096D">
        <w:t xml:space="preserve">challenge </w:t>
      </w:r>
      <w:r w:rsidR="001E3B87" w:rsidRPr="001E3B87">
        <w:t>of</w:t>
      </w:r>
      <w:r w:rsidR="0028682F" w:rsidRPr="001E3B87">
        <w:t xml:space="preserve"> the original poem t</w:t>
      </w:r>
      <w:r w:rsidR="0028682F">
        <w:t xml:space="preserve">hat “he must wrestle with me before he pass into that realm of fame among sky-born </w:t>
      </w:r>
      <w:r w:rsidR="0028682F">
        <w:lastRenderedPageBreak/>
        <w:t>and royal”. Notably, between the times of writing of the two poems, the Troubles began, with the deployment of British troops into Northern Ireland in August 1969</w:t>
      </w:r>
      <w:r w:rsidR="00003B77">
        <w:t>.</w:t>
      </w:r>
      <w:r w:rsidR="006D13CE">
        <w:t xml:space="preserve"> With this, Antaeus, now almost pejoratively described as a “mound-hugger”, joins the ranks of historical victims of various forms of imperialism and colonialism: Heaney states that, </w:t>
      </w:r>
      <w:r w:rsidR="00F525DD">
        <w:t xml:space="preserve">together </w:t>
      </w:r>
      <w:r w:rsidR="006D13CE">
        <w:t xml:space="preserve">with Antaeus, “Balor will die </w:t>
      </w:r>
      <w:r w:rsidR="00A546E1">
        <w:t>and Byr</w:t>
      </w:r>
      <w:r w:rsidR="00F525DD">
        <w:t>thnoth and Sitting Bu</w:t>
      </w:r>
      <w:r w:rsidR="00A546E1">
        <w:t xml:space="preserve">ll”, a </w:t>
      </w:r>
      <w:r w:rsidR="00F525DD">
        <w:t xml:space="preserve">timeless, borderless </w:t>
      </w:r>
      <w:r w:rsidR="00A546E1">
        <w:t>tricolon which Keane describes as a “</w:t>
      </w:r>
      <w:r w:rsidR="00A546E1" w:rsidRPr="00F525DD">
        <w:t>trinity of the dispossessed and defeated</w:t>
      </w:r>
      <w:r w:rsidR="00A546E1" w:rsidRPr="00F277A4">
        <w:t>”</w:t>
      </w:r>
      <w:r w:rsidR="005020C6" w:rsidRPr="00F277A4">
        <w:rPr>
          <w:rStyle w:val="FootnoteReference"/>
        </w:rPr>
        <w:footnoteReference w:id="20"/>
      </w:r>
      <w:r w:rsidR="00A546E1" w:rsidRPr="00F277A4">
        <w:t xml:space="preserve">. </w:t>
      </w:r>
      <w:r w:rsidR="00F525DD" w:rsidRPr="00F277A4">
        <w:t>The temporal and geographical breadth of such a list conveys the timelessness of such events, maintaining their applicability to the people of Ireland, “</w:t>
      </w:r>
      <w:r w:rsidR="00F525DD" w:rsidRPr="00F525DD">
        <w:t>Heaney’s own “wronged people,” driven out or subjugated by the English invaders and planters”</w:t>
      </w:r>
      <w:r w:rsidR="00F525DD" w:rsidRPr="00F525DD">
        <w:rPr>
          <w:rStyle w:val="FootnoteReference"/>
        </w:rPr>
        <w:footnoteReference w:id="21"/>
      </w:r>
      <w:r w:rsidR="00F525DD" w:rsidRPr="00F525DD">
        <w:t>.</w:t>
      </w:r>
    </w:p>
    <w:p w14:paraId="58761297" w14:textId="5A28C8C4" w:rsidR="001F1007" w:rsidRDefault="00F277A4" w:rsidP="00E050D8">
      <w:pPr>
        <w:spacing w:line="276" w:lineRule="auto"/>
      </w:pPr>
      <w:r>
        <w:t xml:space="preserve">Thus </w:t>
      </w:r>
      <w:r w:rsidR="00E632A7">
        <w:t>Hercules, as so often before, becomes the imperialist conqueror, his arms in the shape of “a remorseless V”, reminiscent of Churchill’s “V for victory” during WWII and of the accompanying aggressive foreign and imperial policy.</w:t>
      </w:r>
      <w:r w:rsidR="002E3B95">
        <w:t xml:space="preserve"> </w:t>
      </w:r>
      <w:r w:rsidR="00EE09F4">
        <w:t>Furthermore, Heaney’s d</w:t>
      </w:r>
      <w:r w:rsidR="00E2633C">
        <w:t>ecision to describe Hercules’</w:t>
      </w:r>
      <w:r w:rsidR="00EE09F4">
        <w:t xml:space="preserve"> glory as “his triumph” </w:t>
      </w:r>
      <w:r w:rsidR="00E2633C" w:rsidRPr="00F277A4">
        <w:t>seems to allude</w:t>
      </w:r>
      <w:r w:rsidR="00E2633C">
        <w:t xml:space="preserve"> to</w:t>
      </w:r>
      <w:r w:rsidR="00EE09F4">
        <w:t xml:space="preserve"> the triumphs of ancient Rome, which often celebrated foreign conquests. </w:t>
      </w:r>
      <w:r w:rsidR="002E3B95">
        <w:t xml:space="preserve">In Classical times, Hercules was used to justify colonial ambitions in Africa and Asia; according to Arrian, Alexander the Great persuaded his soldiers to continue advancing beyond the Hyphasis by invoking </w:t>
      </w:r>
      <w:r>
        <w:t>his</w:t>
      </w:r>
      <w:r w:rsidR="002E3B95">
        <w:t xml:space="preserve"> name, </w:t>
      </w:r>
      <w:r w:rsidR="002A0AEC">
        <w:t>asking</w:t>
      </w:r>
      <w:r w:rsidR="002E3B95">
        <w:t>,</w:t>
      </w:r>
    </w:p>
    <w:p w14:paraId="69FF612B" w14:textId="73A4AE8B" w:rsidR="001F1007" w:rsidRDefault="002E3B95" w:rsidP="001F1007">
      <w:pPr>
        <w:spacing w:line="276" w:lineRule="auto"/>
        <w:ind w:left="680" w:right="680"/>
        <w:jc w:val="center"/>
      </w:pPr>
      <w:r>
        <w:t>“</w:t>
      </w:r>
      <w:r w:rsidRPr="002E3B95">
        <w:t>Are you not aware that if Heracles, my ancestor, had gone no further than Tiryns or Argos—or even than the Peloponnese or Thebes—he could never have won the glory which changed him from a man into a god, actual or apparent?</w:t>
      </w:r>
      <w:r>
        <w:t>”</w:t>
      </w:r>
      <w:r>
        <w:rPr>
          <w:rStyle w:val="FootnoteReference"/>
        </w:rPr>
        <w:footnoteReference w:id="22"/>
      </w:r>
    </w:p>
    <w:p w14:paraId="3434CD1A" w14:textId="00533E6E" w:rsidR="004C425E" w:rsidRDefault="00EE09F4" w:rsidP="00E050D8">
      <w:pPr>
        <w:spacing w:line="276" w:lineRule="auto"/>
      </w:pPr>
      <w:r>
        <w:t xml:space="preserve">Heaney’s questioning of Hercules’ morality </w:t>
      </w:r>
      <w:r w:rsidR="00A166F0">
        <w:t>makes him a participant of</w:t>
      </w:r>
      <w:r>
        <w:t xml:space="preserve"> a millennia-old debate</w:t>
      </w:r>
      <w:r w:rsidR="00000515">
        <w:t xml:space="preserve"> on imperialism and conquests</w:t>
      </w:r>
      <w:r w:rsidR="00A166F0">
        <w:t xml:space="preserve">. In </w:t>
      </w:r>
      <w:r w:rsidR="004C425E">
        <w:t xml:space="preserve">book 8 of </w:t>
      </w:r>
      <w:r w:rsidR="00A166F0">
        <w:t xml:space="preserve">Virgil’s Aeneid, for example, </w:t>
      </w:r>
      <w:r w:rsidR="004C425E">
        <w:t xml:space="preserve">the </w:t>
      </w:r>
      <w:r w:rsidR="00A166F0">
        <w:t xml:space="preserve">fight between Hercules and the monster Cacus </w:t>
      </w:r>
      <w:r w:rsidR="00A166F0" w:rsidRPr="00F277A4">
        <w:t>is far from dichoto</w:t>
      </w:r>
      <w:r w:rsidR="007A3C5C">
        <w:t xml:space="preserve">mous on the subject of good and evil. </w:t>
      </w:r>
      <w:r w:rsidR="00000515" w:rsidRPr="00F277A4">
        <w:t>Both</w:t>
      </w:r>
      <w:r w:rsidR="00000515">
        <w:t xml:space="preserve"> Hercules and Cacus are described as “superbus”</w:t>
      </w:r>
      <w:r w:rsidR="00000515">
        <w:rPr>
          <w:rStyle w:val="FootnoteReference"/>
        </w:rPr>
        <w:footnoteReference w:id="23"/>
      </w:r>
      <w:r w:rsidR="00000515">
        <w:t xml:space="preserve"> just 6 lines apart, </w:t>
      </w:r>
      <w:r w:rsidR="00F525DD">
        <w:t>emphasising their</w:t>
      </w:r>
      <w:r w:rsidR="00000515">
        <w:t xml:space="preserve"> </w:t>
      </w:r>
      <w:r w:rsidR="00F525DD">
        <w:t>shared cruel</w:t>
      </w:r>
      <w:r w:rsidR="00000515">
        <w:t xml:space="preserve"> arrogance, while Hercules’ </w:t>
      </w:r>
      <w:r w:rsidR="009E666D">
        <w:t>response</w:t>
      </w:r>
      <w:r w:rsidR="00000515">
        <w:t xml:space="preserve"> at discovering Cacus’ theft of his cattle is hugely animalistic, as he is completely consumed by his rage, savagely </w:t>
      </w:r>
      <w:r w:rsidR="00000515" w:rsidRPr="00F277A4">
        <w:t>“dentibus infrendens” (gnashing his teeth)</w:t>
      </w:r>
      <w:r w:rsidR="00F525DD">
        <w:t>. This response is made all the more ironic by the fact that these cattle are in fact plunder from his victory over Geryon, themselves already stolen by Hercules. Heaney draws on such ambiguities in the ancient text, pulling them to the fore and thus relating them to modern views on imperialism in the post-colonial age.</w:t>
      </w:r>
      <w:r w:rsidR="00D30127">
        <w:t xml:space="preserve"> In the unfinished afterword to his translation of </w:t>
      </w:r>
      <w:r w:rsidR="00D30127">
        <w:rPr>
          <w:i/>
        </w:rPr>
        <w:t>Aeneid Book VI</w:t>
      </w:r>
      <w:r w:rsidR="00D30127">
        <w:t xml:space="preserve">, Heaney commented on its triumphal, </w:t>
      </w:r>
      <w:r w:rsidR="00D30127" w:rsidRPr="0024048E">
        <w:t>imperialistic</w:t>
      </w:r>
      <w:r w:rsidR="00D30127">
        <w:t xml:space="preserve"> elements, condemning “its imperial certitude, its celebration of Rome’s manifest destiny and the catalogue of Roman heroes”</w:t>
      </w:r>
      <w:r w:rsidR="00D30127">
        <w:rPr>
          <w:rStyle w:val="FootnoteReference"/>
        </w:rPr>
        <w:footnoteReference w:id="24"/>
      </w:r>
      <w:r w:rsidR="00D30127">
        <w:t>. While on some level Aeneas and the Trojans represent</w:t>
      </w:r>
      <w:r w:rsidR="00D30127" w:rsidRPr="00D30127">
        <w:t xml:space="preserve"> </w:t>
      </w:r>
      <w:r w:rsidR="00D30127">
        <w:t>“</w:t>
      </w:r>
      <w:r w:rsidR="00D30127" w:rsidRPr="00F525DD">
        <w:t>the dispossessed and defeated</w:t>
      </w:r>
      <w:r w:rsidR="00D30127">
        <w:t>”</w:t>
      </w:r>
      <w:r w:rsidR="00D30127">
        <w:rPr>
          <w:rStyle w:val="FootnoteReference"/>
        </w:rPr>
        <w:footnoteReference w:id="25"/>
      </w:r>
      <w:r w:rsidR="00D30127">
        <w:t xml:space="preserve">, and are thus notable figureheads for the Irish cause, the Romans they </w:t>
      </w:r>
      <w:r w:rsidR="003562AE">
        <w:t>precede</w:t>
      </w:r>
      <w:r w:rsidR="00D30127">
        <w:t xml:space="preserve"> </w:t>
      </w:r>
      <w:r w:rsidR="00192F0A">
        <w:t>will become the dispossessors and defeaters. As Anchises predicts, Augustus “will advance his empire beyond the Garamants and the Indians</w:t>
      </w:r>
      <w:r w:rsidR="004C425E">
        <w:t>”, just like the British in later years</w:t>
      </w:r>
      <w:r w:rsidR="004C425E" w:rsidRPr="00F277A4">
        <w:t>.</w:t>
      </w:r>
      <w:r w:rsidR="00E2633C" w:rsidRPr="00F277A4">
        <w:t xml:space="preserve"> Despite all this, however, and unlike Heaney’s earlier translations of Classical literature, </w:t>
      </w:r>
      <w:r w:rsidR="00E2633C" w:rsidRPr="00F277A4">
        <w:rPr>
          <w:i/>
        </w:rPr>
        <w:lastRenderedPageBreak/>
        <w:t>Aeneid Book VI</w:t>
      </w:r>
      <w:r w:rsidR="00E2633C" w:rsidRPr="00F277A4">
        <w:t xml:space="preserve"> is not explicitly political, demonstrating the liberating effect of the continuation of Ireland’s political stability since the signing of the Good Friday Agreement in 1998. </w:t>
      </w:r>
    </w:p>
    <w:p w14:paraId="7FF9BFA8" w14:textId="47257FAB" w:rsidR="008C4B39" w:rsidRDefault="00176280" w:rsidP="00A64F8F">
      <w:r>
        <w:t>To conclude, Heaney’s use of the Classical world in his literatu</w:t>
      </w:r>
      <w:r w:rsidR="00715894">
        <w:t xml:space="preserve">re </w:t>
      </w:r>
      <w:r w:rsidR="00D02646">
        <w:t>evolved</w:t>
      </w:r>
      <w:r w:rsidR="00715894">
        <w:t xml:space="preserve"> </w:t>
      </w:r>
      <w:r w:rsidR="00D02646">
        <w:t>and flourished throughout his life</w:t>
      </w:r>
      <w:r w:rsidR="00715894">
        <w:t xml:space="preserve">. </w:t>
      </w:r>
      <w:r>
        <w:t>Initially found only sporadically in his work, his use of it became increasingly bold, as he began to use it to address the personal and political dilemmas of the Troubles. Even as the Troubles came to an end, Classical literature and mythology maintained its applicability in his work, displaying its relevance from the</w:t>
      </w:r>
      <w:r w:rsidR="00715894">
        <w:t xml:space="preserve"> quotidian to the exceptional, j</w:t>
      </w:r>
      <w:r>
        <w:t xml:space="preserve">ust as </w:t>
      </w:r>
      <w:r w:rsidR="00715894">
        <w:t>the</w:t>
      </w:r>
      <w:r>
        <w:t xml:space="preserve"> architecture </w:t>
      </w:r>
      <w:r w:rsidR="00715894">
        <w:t xml:space="preserve">of the Ancients </w:t>
      </w:r>
      <w:r>
        <w:t xml:space="preserve">has </w:t>
      </w:r>
      <w:r w:rsidR="00715894">
        <w:t>demonstrated</w:t>
      </w:r>
      <w:r>
        <w:t xml:space="preserve"> its versatility in its varying uses over the centuries, with the Parthenon being used as everything from a temple to an ammunitions store</w:t>
      </w:r>
      <w:r w:rsidR="00715894">
        <w:t>. Assessing the pertinence of the Classical world in a contemporary society, Nietzsche commented, “</w:t>
      </w:r>
      <w:r w:rsidR="00715894" w:rsidRPr="00800D40">
        <w:t>people have explained antiquity to themselves out of their own experiences; and from the amount of antiquity thus acquired they have assessed the value of their experiences.</w:t>
      </w:r>
      <w:r w:rsidR="00715894">
        <w:t>”</w:t>
      </w:r>
      <w:r w:rsidR="0043034E">
        <w:rPr>
          <w:rStyle w:val="FootnoteReference"/>
        </w:rPr>
        <w:footnoteReference w:id="26"/>
      </w:r>
      <w:r w:rsidR="00715894">
        <w:t xml:space="preserve"> </w:t>
      </w:r>
      <w:r w:rsidR="00FC0964">
        <w:t>Just like Yeats, who called the Classics “the builders of my soul”</w:t>
      </w:r>
      <w:r w:rsidR="0043034E">
        <w:rPr>
          <w:rStyle w:val="FootnoteReference"/>
        </w:rPr>
        <w:footnoteReference w:id="27"/>
      </w:r>
      <w:r w:rsidR="00FC0964">
        <w:t xml:space="preserve">, </w:t>
      </w:r>
      <w:r w:rsidR="00715894">
        <w:t xml:space="preserve">Heaney was infatuated with Classics from the very beginning, as </w:t>
      </w:r>
      <w:r w:rsidR="00FC0964">
        <w:t>shown</w:t>
      </w:r>
      <w:r w:rsidR="00715894">
        <w:t xml:space="preserve"> in his poem </w:t>
      </w:r>
      <w:r w:rsidR="00715894" w:rsidRPr="00715894">
        <w:rPr>
          <w:i/>
        </w:rPr>
        <w:t>Alphabets</w:t>
      </w:r>
      <w:r w:rsidR="00715894">
        <w:t>:</w:t>
      </w:r>
    </w:p>
    <w:p w14:paraId="769807DE" w14:textId="2FE93B12" w:rsidR="00715894" w:rsidRDefault="0043034E" w:rsidP="00715894">
      <w:pPr>
        <w:jc w:val="center"/>
      </w:pPr>
      <w:r>
        <w:t>“</w:t>
      </w:r>
      <w:r w:rsidR="00715894">
        <w:t xml:space="preserve">Declensions sang on air like a </w:t>
      </w:r>
      <w:r w:rsidR="00715894">
        <w:rPr>
          <w:i/>
        </w:rPr>
        <w:t>hosanna</w:t>
      </w:r>
    </w:p>
    <w:p w14:paraId="51740C2F" w14:textId="13EA23D5" w:rsidR="00715894" w:rsidRDefault="00715894" w:rsidP="00715894">
      <w:pPr>
        <w:jc w:val="center"/>
      </w:pPr>
      <w:r>
        <w:t>As, column after stratified column,</w:t>
      </w:r>
    </w:p>
    <w:p w14:paraId="186D6CDC" w14:textId="3E6C992E" w:rsidR="00715894" w:rsidRDefault="00715894" w:rsidP="00715894">
      <w:pPr>
        <w:jc w:val="center"/>
      </w:pPr>
      <w:r>
        <w:t xml:space="preserve">Book One of </w:t>
      </w:r>
      <w:r>
        <w:rPr>
          <w:i/>
        </w:rPr>
        <w:t>Elementa Latina</w:t>
      </w:r>
      <w:r>
        <w:t xml:space="preserve">, </w:t>
      </w:r>
    </w:p>
    <w:p w14:paraId="673D44B6" w14:textId="01F11AD6" w:rsidR="00715894" w:rsidRPr="00715894" w:rsidRDefault="00715894" w:rsidP="00715894">
      <w:pPr>
        <w:jc w:val="center"/>
      </w:pPr>
      <w:r>
        <w:t>Marbled and minatory, rose up in him.</w:t>
      </w:r>
      <w:r w:rsidR="0043034E">
        <w:t>”</w:t>
      </w:r>
      <w:r w:rsidR="0043034E">
        <w:rPr>
          <w:rStyle w:val="FootnoteReference"/>
        </w:rPr>
        <w:footnoteReference w:id="28"/>
      </w:r>
    </w:p>
    <w:p w14:paraId="34708CCA" w14:textId="01554BE5" w:rsidR="00715894" w:rsidRDefault="00715894" w:rsidP="00A64F8F">
      <w:r>
        <w:t xml:space="preserve">Most importantly, he was able to use this love to narrate not just political oscillations, but his own personal successes. Thus, in </w:t>
      </w:r>
      <w:r>
        <w:rPr>
          <w:i/>
        </w:rPr>
        <w:t>Route 110</w:t>
      </w:r>
      <w:r w:rsidR="00D02646">
        <w:t xml:space="preserve">, Aeneid </w:t>
      </w:r>
      <w:r>
        <w:t>V</w:t>
      </w:r>
      <w:r w:rsidR="00D02646">
        <w:t>I</w:t>
      </w:r>
      <w:r>
        <w:t>’s promises of the rebirth of Roman heroes are replaced by the birth of a granddaughter</w:t>
      </w:r>
      <w:r w:rsidR="0043034E">
        <w:rPr>
          <w:rStyle w:val="FootnoteReference"/>
        </w:rPr>
        <w:footnoteReference w:id="29"/>
      </w:r>
      <w:r>
        <w:t xml:space="preserve"> – Ireland’s true victory: progress.</w:t>
      </w:r>
    </w:p>
    <w:p w14:paraId="3589C43A" w14:textId="615AA6EB" w:rsidR="00E2633C" w:rsidRPr="00E2633C" w:rsidRDefault="00E2633C" w:rsidP="00A64F8F">
      <w:pPr>
        <w:rPr>
          <w:u w:val="single"/>
        </w:rPr>
      </w:pPr>
    </w:p>
    <w:p w14:paraId="3C072AE1" w14:textId="77777777" w:rsidR="00F30309" w:rsidRDefault="00F30309" w:rsidP="00A64F8F"/>
    <w:sectPr w:rsidR="00F3030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CE6FD2" w14:textId="77777777" w:rsidR="0001705F" w:rsidRDefault="0001705F" w:rsidP="005020C6">
      <w:pPr>
        <w:spacing w:after="0" w:line="240" w:lineRule="auto"/>
      </w:pPr>
      <w:r>
        <w:separator/>
      </w:r>
    </w:p>
  </w:endnote>
  <w:endnote w:type="continuationSeparator" w:id="0">
    <w:p w14:paraId="4D002AE3" w14:textId="77777777" w:rsidR="0001705F" w:rsidRDefault="0001705F" w:rsidP="005020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1DF34F" w14:textId="77777777" w:rsidR="0001705F" w:rsidRDefault="0001705F" w:rsidP="005020C6">
      <w:pPr>
        <w:spacing w:after="0" w:line="240" w:lineRule="auto"/>
      </w:pPr>
      <w:r>
        <w:separator/>
      </w:r>
    </w:p>
  </w:footnote>
  <w:footnote w:type="continuationSeparator" w:id="0">
    <w:p w14:paraId="0266DA5D" w14:textId="77777777" w:rsidR="0001705F" w:rsidRDefault="0001705F" w:rsidP="005020C6">
      <w:pPr>
        <w:spacing w:after="0" w:line="240" w:lineRule="auto"/>
      </w:pPr>
      <w:r>
        <w:continuationSeparator/>
      </w:r>
    </w:p>
  </w:footnote>
  <w:footnote w:id="1">
    <w:p w14:paraId="6CFDA4CC" w14:textId="63B6A0BF" w:rsidR="00461C89" w:rsidRPr="00461C89" w:rsidRDefault="00461C89">
      <w:pPr>
        <w:pStyle w:val="FootnoteText"/>
        <w:rPr>
          <w:i/>
        </w:rPr>
      </w:pPr>
      <w:r>
        <w:rPr>
          <w:rStyle w:val="FootnoteReference"/>
        </w:rPr>
        <w:footnoteRef/>
      </w:r>
      <w:r w:rsidR="0024048E">
        <w:t xml:space="preserve"> Heaney, </w:t>
      </w:r>
      <w:r>
        <w:rPr>
          <w:i/>
        </w:rPr>
        <w:t>Aeneid Book VI</w:t>
      </w:r>
      <w:r w:rsidR="00A12721">
        <w:rPr>
          <w:i/>
        </w:rPr>
        <w:t xml:space="preserve"> </w:t>
      </w:r>
      <w:r w:rsidR="00A12721">
        <w:t>(2013)</w:t>
      </w:r>
      <w:r w:rsidRPr="00A12721">
        <w:t xml:space="preserve"> lines 50-2</w:t>
      </w:r>
    </w:p>
  </w:footnote>
  <w:footnote w:id="2">
    <w:p w14:paraId="3ABFC597" w14:textId="7B41F478" w:rsidR="007B0603" w:rsidRPr="00A12721" w:rsidRDefault="007B0603">
      <w:pPr>
        <w:pStyle w:val="FootnoteText"/>
      </w:pPr>
      <w:r>
        <w:rPr>
          <w:rStyle w:val="FootnoteReference"/>
        </w:rPr>
        <w:footnoteRef/>
      </w:r>
      <w:r>
        <w:t xml:space="preserve"> Heaney</w:t>
      </w:r>
      <w:r w:rsidR="0024048E">
        <w:t>,</w:t>
      </w:r>
      <w:r>
        <w:t xml:space="preserve"> </w:t>
      </w:r>
      <w:r>
        <w:rPr>
          <w:i/>
        </w:rPr>
        <w:t>The Redress of Poetry</w:t>
      </w:r>
      <w:r w:rsidR="00A12721">
        <w:rPr>
          <w:i/>
        </w:rPr>
        <w:t xml:space="preserve"> </w:t>
      </w:r>
      <w:r w:rsidR="00A12721">
        <w:t>(1990)</w:t>
      </w:r>
    </w:p>
  </w:footnote>
  <w:footnote w:id="3">
    <w:p w14:paraId="4C2573E3" w14:textId="2D2BF1F2" w:rsidR="0024048E" w:rsidRDefault="0024048E">
      <w:pPr>
        <w:pStyle w:val="FootnoteText"/>
      </w:pPr>
      <w:r>
        <w:rPr>
          <w:rStyle w:val="FootnoteReference"/>
        </w:rPr>
        <w:footnoteRef/>
      </w:r>
      <w:r>
        <w:t xml:space="preserve"> Heaney, </w:t>
      </w:r>
      <w:r>
        <w:rPr>
          <w:i/>
        </w:rPr>
        <w:t>Route 110</w:t>
      </w:r>
      <w:r>
        <w:t xml:space="preserve">, I, from </w:t>
      </w:r>
      <w:r>
        <w:rPr>
          <w:i/>
        </w:rPr>
        <w:t>Human Chain</w:t>
      </w:r>
      <w:r>
        <w:t xml:space="preserve"> (2010)</w:t>
      </w:r>
    </w:p>
  </w:footnote>
  <w:footnote w:id="4">
    <w:p w14:paraId="2920C88C" w14:textId="7815C98A" w:rsidR="0038330C" w:rsidRDefault="0038330C" w:rsidP="0038330C">
      <w:pPr>
        <w:pStyle w:val="FootnoteText"/>
      </w:pPr>
      <w:r>
        <w:rPr>
          <w:rStyle w:val="FootnoteReference"/>
        </w:rPr>
        <w:footnoteRef/>
      </w:r>
      <w:r>
        <w:t xml:space="preserve"> </w:t>
      </w:r>
      <w:r w:rsidR="0043034E">
        <w:t xml:space="preserve">Virgil, </w:t>
      </w:r>
      <w:r w:rsidR="0043034E">
        <w:rPr>
          <w:i/>
        </w:rPr>
        <w:t>The Aeneid</w:t>
      </w:r>
      <w:r w:rsidR="00A12721">
        <w:t>, translated by David West (2003)</w:t>
      </w:r>
      <w:r w:rsidR="0043034E">
        <w:rPr>
          <w:i/>
        </w:rPr>
        <w:t xml:space="preserve"> </w:t>
      </w:r>
      <w:r w:rsidR="0043034E" w:rsidRPr="0043034E">
        <w:t>6.86-7, p.117</w:t>
      </w:r>
    </w:p>
  </w:footnote>
  <w:footnote w:id="5">
    <w:p w14:paraId="691F38D7" w14:textId="4DBD5DBF" w:rsidR="0038330C" w:rsidRPr="00A12721" w:rsidRDefault="0038330C">
      <w:pPr>
        <w:pStyle w:val="FootnoteText"/>
      </w:pPr>
      <w:r>
        <w:rPr>
          <w:rStyle w:val="FootnoteReference"/>
        </w:rPr>
        <w:footnoteRef/>
      </w:r>
      <w:r>
        <w:t xml:space="preserve"> </w:t>
      </w:r>
      <w:r w:rsidR="008C4B39">
        <w:t>Joyce</w:t>
      </w:r>
      <w:r w:rsidR="0024048E">
        <w:t>,</w:t>
      </w:r>
      <w:r w:rsidR="008C4B39">
        <w:t xml:space="preserve"> </w:t>
      </w:r>
      <w:r w:rsidR="008C4B39">
        <w:rPr>
          <w:i/>
        </w:rPr>
        <w:t xml:space="preserve">Ulysses </w:t>
      </w:r>
      <w:r w:rsidR="00A12721">
        <w:t>(1922)</w:t>
      </w:r>
    </w:p>
  </w:footnote>
  <w:footnote w:id="6">
    <w:p w14:paraId="6251F890" w14:textId="4B8FBDE0" w:rsidR="00D02646" w:rsidRPr="00A12721" w:rsidRDefault="00D02646">
      <w:pPr>
        <w:pStyle w:val="FootnoteText"/>
      </w:pPr>
      <w:r>
        <w:rPr>
          <w:rStyle w:val="FootnoteReference"/>
        </w:rPr>
        <w:footnoteRef/>
      </w:r>
      <w:r>
        <w:t xml:space="preserve"> Heaney</w:t>
      </w:r>
      <w:r w:rsidR="0024048E">
        <w:t>,</w:t>
      </w:r>
      <w:r w:rsidR="00A12721">
        <w:t xml:space="preserve"> </w:t>
      </w:r>
      <w:r w:rsidR="00A12721">
        <w:rPr>
          <w:i/>
        </w:rPr>
        <w:t xml:space="preserve">Fosterlings </w:t>
      </w:r>
      <w:r w:rsidR="00A12721">
        <w:t xml:space="preserve">from </w:t>
      </w:r>
      <w:r w:rsidR="00A12721">
        <w:rPr>
          <w:i/>
        </w:rPr>
        <w:t xml:space="preserve">Seeing Things </w:t>
      </w:r>
      <w:r w:rsidR="00A12721">
        <w:t>(1991)</w:t>
      </w:r>
    </w:p>
  </w:footnote>
  <w:footnote w:id="7">
    <w:p w14:paraId="183C38DE" w14:textId="73913627" w:rsidR="00D24D2F" w:rsidRPr="00D24D2F" w:rsidRDefault="00D24D2F">
      <w:pPr>
        <w:pStyle w:val="FootnoteText"/>
        <w:rPr>
          <w:i/>
        </w:rPr>
      </w:pPr>
      <w:r>
        <w:rPr>
          <w:rStyle w:val="FootnoteReference"/>
        </w:rPr>
        <w:footnoteRef/>
      </w:r>
      <w:r>
        <w:t xml:space="preserve"> </w:t>
      </w:r>
      <w:r>
        <w:rPr>
          <w:i/>
        </w:rPr>
        <w:t>Exodus 21:24, New English Bible</w:t>
      </w:r>
    </w:p>
  </w:footnote>
  <w:footnote w:id="8">
    <w:p w14:paraId="022225AE" w14:textId="1E4D42A2" w:rsidR="00D02646" w:rsidRDefault="00D02646">
      <w:pPr>
        <w:pStyle w:val="FootnoteText"/>
      </w:pPr>
      <w:r>
        <w:rPr>
          <w:rStyle w:val="FootnoteReference"/>
        </w:rPr>
        <w:footnoteRef/>
      </w:r>
      <w:r>
        <w:t xml:space="preserve"> Bill Clinton, </w:t>
      </w:r>
      <w:r w:rsidR="0024048E">
        <w:t xml:space="preserve">speech in Derry on </w:t>
      </w:r>
      <w:r>
        <w:t xml:space="preserve">30/11/1995 – </w:t>
      </w:r>
      <w:r w:rsidRPr="00D02646">
        <w:t>http://cain.ulst.ac.uk/events/peace/docs/pres2.htm</w:t>
      </w:r>
      <w:r>
        <w:t xml:space="preserve"> accessed on 27/7/18</w:t>
      </w:r>
    </w:p>
  </w:footnote>
  <w:footnote w:id="9">
    <w:p w14:paraId="17ED9A9D" w14:textId="1E59BCFA" w:rsidR="00D02646" w:rsidRDefault="00D02646">
      <w:pPr>
        <w:pStyle w:val="FootnoteText"/>
      </w:pPr>
      <w:r>
        <w:rPr>
          <w:rStyle w:val="FootnoteReference"/>
        </w:rPr>
        <w:footnoteRef/>
      </w:r>
      <w:r>
        <w:t xml:space="preserve"> Margaret Thatcher</w:t>
      </w:r>
      <w:r w:rsidR="0024048E">
        <w:t>,</w:t>
      </w:r>
      <w:r>
        <w:t xml:space="preserve"> </w:t>
      </w:r>
      <w:r w:rsidR="0024048E">
        <w:t xml:space="preserve">press conference in Riyadh on </w:t>
      </w:r>
      <w:r>
        <w:t xml:space="preserve">21/4/1981 – </w:t>
      </w:r>
      <w:r w:rsidRPr="00D02646">
        <w:t>https://www.margaretthatcher.org/document/104501</w:t>
      </w:r>
      <w:r>
        <w:t xml:space="preserve"> accessed on 27/7/18</w:t>
      </w:r>
    </w:p>
  </w:footnote>
  <w:footnote w:id="10">
    <w:p w14:paraId="53B0E8C0" w14:textId="5D0FF432" w:rsidR="00A12721" w:rsidRPr="00A12721" w:rsidRDefault="00A12721">
      <w:pPr>
        <w:pStyle w:val="FootnoteText"/>
      </w:pPr>
      <w:r>
        <w:rPr>
          <w:rStyle w:val="FootnoteReference"/>
        </w:rPr>
        <w:footnoteRef/>
      </w:r>
      <w:r>
        <w:t xml:space="preserve"> Heaney and O’Driscoll, </w:t>
      </w:r>
      <w:r>
        <w:rPr>
          <w:i/>
        </w:rPr>
        <w:t xml:space="preserve">Stepping Stones </w:t>
      </w:r>
      <w:r>
        <w:t>(2008), p.423</w:t>
      </w:r>
    </w:p>
  </w:footnote>
  <w:footnote w:id="11">
    <w:p w14:paraId="7787EAAC" w14:textId="770859F1" w:rsidR="00A12721" w:rsidRDefault="00A12721">
      <w:pPr>
        <w:pStyle w:val="FootnoteText"/>
      </w:pPr>
      <w:r>
        <w:rPr>
          <w:rStyle w:val="FootnoteReference"/>
        </w:rPr>
        <w:footnoteRef/>
      </w:r>
      <w:r>
        <w:t xml:space="preserve"> ibid</w:t>
      </w:r>
    </w:p>
  </w:footnote>
  <w:footnote w:id="12">
    <w:p w14:paraId="51C5873F" w14:textId="0709FC74" w:rsidR="003562AE" w:rsidRDefault="003562AE">
      <w:pPr>
        <w:pStyle w:val="FootnoteText"/>
      </w:pPr>
      <w:r>
        <w:rPr>
          <w:rStyle w:val="FootnoteReference"/>
        </w:rPr>
        <w:footnoteRef/>
      </w:r>
      <w:r>
        <w:t xml:space="preserve"> </w:t>
      </w:r>
      <w:r w:rsidR="0024048E">
        <w:t>Virgil,</w:t>
      </w:r>
      <w:r>
        <w:t xml:space="preserve"> </w:t>
      </w:r>
      <w:r>
        <w:rPr>
          <w:i/>
        </w:rPr>
        <w:t>Aeneid 6.56</w:t>
      </w:r>
    </w:p>
  </w:footnote>
  <w:footnote w:id="13">
    <w:p w14:paraId="34B84E96" w14:textId="1FC29EEE" w:rsidR="005020C6" w:rsidRPr="005020C6" w:rsidRDefault="005020C6">
      <w:pPr>
        <w:pStyle w:val="FootnoteText"/>
        <w:rPr>
          <w:i/>
        </w:rPr>
      </w:pPr>
      <w:r>
        <w:rPr>
          <w:rStyle w:val="FootnoteReference"/>
        </w:rPr>
        <w:footnoteRef/>
      </w:r>
      <w:r>
        <w:t xml:space="preserve"> Heaney</w:t>
      </w:r>
      <w:r w:rsidR="0024048E">
        <w:t>,</w:t>
      </w:r>
      <w:r>
        <w:t xml:space="preserve"> </w:t>
      </w:r>
      <w:r>
        <w:rPr>
          <w:i/>
        </w:rPr>
        <w:t>Aeneid Book VI, lines 82-3</w:t>
      </w:r>
    </w:p>
  </w:footnote>
  <w:footnote w:id="14">
    <w:p w14:paraId="33B4DC28" w14:textId="7EA2E243" w:rsidR="0043034E" w:rsidRPr="00A12721" w:rsidRDefault="0043034E">
      <w:pPr>
        <w:pStyle w:val="FootnoteText"/>
      </w:pPr>
      <w:r>
        <w:rPr>
          <w:rStyle w:val="FootnoteReference"/>
        </w:rPr>
        <w:footnoteRef/>
      </w:r>
      <w:r>
        <w:t xml:space="preserve"> </w:t>
      </w:r>
      <w:r w:rsidR="00A12721">
        <w:t>Heaney</w:t>
      </w:r>
      <w:r w:rsidR="0024048E">
        <w:t>,</w:t>
      </w:r>
      <w:r w:rsidR="00A12721">
        <w:t xml:space="preserve"> </w:t>
      </w:r>
      <w:r w:rsidR="00A12721">
        <w:rPr>
          <w:i/>
        </w:rPr>
        <w:t>Ocean’s Love to Ireland</w:t>
      </w:r>
      <w:r w:rsidR="00A12721">
        <w:t xml:space="preserve"> from </w:t>
      </w:r>
      <w:r w:rsidR="00A12721">
        <w:rPr>
          <w:i/>
        </w:rPr>
        <w:t>North</w:t>
      </w:r>
      <w:r w:rsidR="00A12721">
        <w:t xml:space="preserve"> (1975)</w:t>
      </w:r>
    </w:p>
  </w:footnote>
  <w:footnote w:id="15">
    <w:p w14:paraId="73211706" w14:textId="0F8E5A4B" w:rsidR="005020C6" w:rsidRPr="005020C6" w:rsidRDefault="005020C6">
      <w:pPr>
        <w:pStyle w:val="FootnoteText"/>
        <w:rPr>
          <w:i/>
        </w:rPr>
      </w:pPr>
      <w:r>
        <w:rPr>
          <w:rStyle w:val="FootnoteReference"/>
        </w:rPr>
        <w:footnoteRef/>
      </w:r>
      <w:r w:rsidR="0024048E">
        <w:t xml:space="preserve"> Heaney,</w:t>
      </w:r>
      <w:r>
        <w:t xml:space="preserve"> </w:t>
      </w:r>
      <w:r>
        <w:rPr>
          <w:i/>
        </w:rPr>
        <w:t>Aeneid Book VI, line 9</w:t>
      </w:r>
    </w:p>
  </w:footnote>
  <w:footnote w:id="16">
    <w:p w14:paraId="4E6CC63F" w14:textId="235DCA84" w:rsidR="005020C6" w:rsidRPr="005020C6" w:rsidRDefault="005020C6">
      <w:pPr>
        <w:pStyle w:val="FootnoteText"/>
        <w:rPr>
          <w:i/>
        </w:rPr>
      </w:pPr>
      <w:r>
        <w:rPr>
          <w:rStyle w:val="FootnoteReference"/>
        </w:rPr>
        <w:footnoteRef/>
      </w:r>
      <w:r w:rsidR="0024048E">
        <w:t xml:space="preserve"> Heaney,</w:t>
      </w:r>
      <w:r>
        <w:t xml:space="preserve"> </w:t>
      </w:r>
      <w:r>
        <w:rPr>
          <w:i/>
        </w:rPr>
        <w:t xml:space="preserve">Aeneid Book VI, </w:t>
      </w:r>
      <w:r w:rsidRPr="0024048E">
        <w:t>line</w:t>
      </w:r>
      <w:r w:rsidR="0024048E">
        <w:t xml:space="preserve"> </w:t>
      </w:r>
      <w:r w:rsidRPr="0024048E">
        <w:t>7</w:t>
      </w:r>
    </w:p>
  </w:footnote>
  <w:footnote w:id="17">
    <w:p w14:paraId="70327246" w14:textId="0DB17383" w:rsidR="005020C6" w:rsidRPr="00A12721" w:rsidRDefault="005020C6">
      <w:pPr>
        <w:pStyle w:val="FootnoteText"/>
      </w:pPr>
      <w:r>
        <w:rPr>
          <w:rStyle w:val="FootnoteReference"/>
        </w:rPr>
        <w:footnoteRef/>
      </w:r>
      <w:r>
        <w:t xml:space="preserve"> Heaney</w:t>
      </w:r>
      <w:r w:rsidR="0024048E">
        <w:t>,</w:t>
      </w:r>
      <w:r>
        <w:t xml:space="preserve"> </w:t>
      </w:r>
      <w:r>
        <w:rPr>
          <w:i/>
        </w:rPr>
        <w:t xml:space="preserve">Digging </w:t>
      </w:r>
      <w:r w:rsidR="00A12721">
        <w:t xml:space="preserve">from </w:t>
      </w:r>
      <w:r w:rsidR="00A12721">
        <w:rPr>
          <w:i/>
        </w:rPr>
        <w:t xml:space="preserve">Death of a Naturalist </w:t>
      </w:r>
      <w:r w:rsidR="00A12721">
        <w:t>(1966)</w:t>
      </w:r>
    </w:p>
  </w:footnote>
  <w:footnote w:id="18">
    <w:p w14:paraId="2E796272" w14:textId="28501A10" w:rsidR="001B58EF" w:rsidRPr="001B58EF" w:rsidRDefault="001B58EF">
      <w:pPr>
        <w:pStyle w:val="FootnoteText"/>
        <w:rPr>
          <w:i/>
        </w:rPr>
      </w:pPr>
      <w:r>
        <w:rPr>
          <w:rStyle w:val="FootnoteReference"/>
        </w:rPr>
        <w:footnoteRef/>
      </w:r>
      <w:r>
        <w:t xml:space="preserve"> Ovid</w:t>
      </w:r>
      <w:r w:rsidR="0024048E">
        <w:t>,</w:t>
      </w:r>
      <w:r>
        <w:t xml:space="preserve"> </w:t>
      </w:r>
      <w:r>
        <w:rPr>
          <w:i/>
        </w:rPr>
        <w:t>Metamorphoses 9.183-4</w:t>
      </w:r>
    </w:p>
  </w:footnote>
  <w:footnote w:id="19">
    <w:p w14:paraId="69CFEBE0" w14:textId="35815AB1" w:rsidR="005020C6" w:rsidRPr="005020C6" w:rsidRDefault="005020C6">
      <w:pPr>
        <w:pStyle w:val="FootnoteText"/>
        <w:rPr>
          <w:i/>
        </w:rPr>
      </w:pPr>
      <w:r>
        <w:rPr>
          <w:rStyle w:val="FootnoteReference"/>
        </w:rPr>
        <w:footnoteRef/>
      </w:r>
      <w:r>
        <w:t xml:space="preserve"> WB Yeats</w:t>
      </w:r>
      <w:r w:rsidR="0024048E">
        <w:t>,</w:t>
      </w:r>
      <w:r>
        <w:t xml:space="preserve"> </w:t>
      </w:r>
      <w:r>
        <w:rPr>
          <w:i/>
        </w:rPr>
        <w:t>The Municipal Gallery Revisited</w:t>
      </w:r>
      <w:r w:rsidR="008C4B39">
        <w:rPr>
          <w:i/>
        </w:rPr>
        <w:t xml:space="preserve"> IV.2-5</w:t>
      </w:r>
    </w:p>
  </w:footnote>
  <w:footnote w:id="20">
    <w:p w14:paraId="0D980D1F" w14:textId="1D4D8ADD" w:rsidR="005020C6" w:rsidRPr="005020C6" w:rsidRDefault="005020C6">
      <w:pPr>
        <w:pStyle w:val="FootnoteText"/>
        <w:rPr>
          <w:i/>
        </w:rPr>
      </w:pPr>
      <w:r>
        <w:rPr>
          <w:rStyle w:val="FootnoteReference"/>
        </w:rPr>
        <w:footnoteRef/>
      </w:r>
      <w:r>
        <w:t xml:space="preserve"> Patrick J Keane</w:t>
      </w:r>
      <w:r w:rsidR="0024048E">
        <w:t xml:space="preserve">, </w:t>
      </w:r>
      <w:r>
        <w:t>“</w:t>
      </w:r>
      <w:r w:rsidRPr="005020C6">
        <w:rPr>
          <w:i/>
        </w:rPr>
        <w:t>Second Thoughts” in Seamus Heaney’s North: From “Antaeus” to “Hercules and Antaeus” to “Exposure”</w:t>
      </w:r>
      <w:r>
        <w:rPr>
          <w:i/>
        </w:rPr>
        <w:t xml:space="preserve"> </w:t>
      </w:r>
    </w:p>
  </w:footnote>
  <w:footnote w:id="21">
    <w:p w14:paraId="6DFC1D55" w14:textId="155B364A" w:rsidR="00F525DD" w:rsidRDefault="00F525DD">
      <w:pPr>
        <w:pStyle w:val="FootnoteText"/>
      </w:pPr>
      <w:r>
        <w:rPr>
          <w:rStyle w:val="FootnoteReference"/>
        </w:rPr>
        <w:footnoteRef/>
      </w:r>
      <w:r>
        <w:t xml:space="preserve"> ibid</w:t>
      </w:r>
    </w:p>
  </w:footnote>
  <w:footnote w:id="22">
    <w:p w14:paraId="2CB94545" w14:textId="4D501AF5" w:rsidR="002E3B95" w:rsidRPr="00E2633C" w:rsidRDefault="002E3B95">
      <w:pPr>
        <w:pStyle w:val="FootnoteText"/>
      </w:pPr>
      <w:r>
        <w:rPr>
          <w:rStyle w:val="FootnoteReference"/>
        </w:rPr>
        <w:footnoteRef/>
      </w:r>
      <w:r>
        <w:t xml:space="preserve"> </w:t>
      </w:r>
      <w:r w:rsidR="00E2633C" w:rsidRPr="00E2633C">
        <w:t>A</w:t>
      </w:r>
      <w:r w:rsidR="00E2633C">
        <w:t>rrian</w:t>
      </w:r>
      <w:r w:rsidR="0024048E">
        <w:t>,</w:t>
      </w:r>
      <w:r w:rsidR="00E2633C">
        <w:t xml:space="preserve"> </w:t>
      </w:r>
      <w:r w:rsidR="00E2633C">
        <w:rPr>
          <w:i/>
        </w:rPr>
        <w:t>The Campaigns of Alexander</w:t>
      </w:r>
      <w:r w:rsidR="00E2633C">
        <w:t>, translate</w:t>
      </w:r>
      <w:r w:rsidR="00E2633C" w:rsidRPr="00E2633C">
        <w:t>d b</w:t>
      </w:r>
      <w:r w:rsidR="00E2633C" w:rsidRPr="00E2633C">
        <w:rPr>
          <w:rFonts w:cs="Arial"/>
          <w:color w:val="000000"/>
          <w:shd w:val="clear" w:color="auto" w:fill="FFFFFF"/>
        </w:rPr>
        <w:t>y Aubrey de Selincourt &amp; revised by J. R. Hamilton</w:t>
      </w:r>
    </w:p>
  </w:footnote>
  <w:footnote w:id="23">
    <w:p w14:paraId="34CB56E8" w14:textId="4CEA03F7" w:rsidR="00000515" w:rsidRPr="00000515" w:rsidRDefault="00000515">
      <w:pPr>
        <w:pStyle w:val="FootnoteText"/>
        <w:rPr>
          <w:i/>
        </w:rPr>
      </w:pPr>
      <w:r>
        <w:rPr>
          <w:rStyle w:val="FootnoteReference"/>
        </w:rPr>
        <w:footnoteRef/>
      </w:r>
      <w:r>
        <w:t xml:space="preserve"> Virgil</w:t>
      </w:r>
      <w:r w:rsidR="0024048E">
        <w:t>,</w:t>
      </w:r>
      <w:r>
        <w:t xml:space="preserve"> </w:t>
      </w:r>
      <w:r>
        <w:rPr>
          <w:i/>
        </w:rPr>
        <w:t>Aeneid 8.196 and 202</w:t>
      </w:r>
    </w:p>
  </w:footnote>
  <w:footnote w:id="24">
    <w:p w14:paraId="66D2A6F7" w14:textId="5297D9F7" w:rsidR="00D30127" w:rsidRPr="0024048E" w:rsidRDefault="00D30127">
      <w:pPr>
        <w:pStyle w:val="FootnoteText"/>
        <w:rPr>
          <w:i/>
        </w:rPr>
      </w:pPr>
      <w:r>
        <w:rPr>
          <w:rStyle w:val="FootnoteReference"/>
        </w:rPr>
        <w:footnoteRef/>
      </w:r>
      <w:r>
        <w:t xml:space="preserve"> Heaney</w:t>
      </w:r>
      <w:r w:rsidR="0024048E">
        <w:t>,</w:t>
      </w:r>
      <w:r>
        <w:t xml:space="preserve"> </w:t>
      </w:r>
      <w:r>
        <w:rPr>
          <w:i/>
        </w:rPr>
        <w:t>Katabasis, Eschatological (Unfinished)</w:t>
      </w:r>
      <w:r w:rsidR="00A12721">
        <w:t xml:space="preserve"> </w:t>
      </w:r>
      <w:r w:rsidR="0024048E">
        <w:t>–</w:t>
      </w:r>
      <w:r w:rsidR="00A12721">
        <w:t xml:space="preserve"> </w:t>
      </w:r>
      <w:r w:rsidR="0024048E">
        <w:rPr>
          <w:i/>
        </w:rPr>
        <w:t xml:space="preserve">Note on the Text </w:t>
      </w:r>
      <w:r w:rsidR="0024048E">
        <w:t>of</w:t>
      </w:r>
      <w:r w:rsidR="0024048E">
        <w:rPr>
          <w:i/>
        </w:rPr>
        <w:t xml:space="preserve"> Aeneid Book VI</w:t>
      </w:r>
    </w:p>
  </w:footnote>
  <w:footnote w:id="25">
    <w:p w14:paraId="158D7C5D" w14:textId="248195D4" w:rsidR="00D30127" w:rsidRPr="0024048E" w:rsidRDefault="00D30127">
      <w:pPr>
        <w:pStyle w:val="FootnoteText"/>
        <w:rPr>
          <w:i/>
        </w:rPr>
      </w:pPr>
      <w:r>
        <w:rPr>
          <w:rStyle w:val="FootnoteReference"/>
        </w:rPr>
        <w:footnoteRef/>
      </w:r>
      <w:r>
        <w:t xml:space="preserve"> Keane</w:t>
      </w:r>
      <w:r w:rsidR="0024048E">
        <w:t>, “</w:t>
      </w:r>
      <w:r w:rsidR="0024048E" w:rsidRPr="005020C6">
        <w:rPr>
          <w:i/>
        </w:rPr>
        <w:t>Second Thoughts” in Seamus Heaney’s North: From “Antaeus” to “Hercules and Antaeus” to “Exposure”</w:t>
      </w:r>
      <w:r w:rsidR="0024048E">
        <w:rPr>
          <w:i/>
        </w:rPr>
        <w:t xml:space="preserve"> </w:t>
      </w:r>
    </w:p>
  </w:footnote>
  <w:footnote w:id="26">
    <w:p w14:paraId="049FA2A9" w14:textId="058B5471" w:rsidR="0043034E" w:rsidRDefault="0043034E">
      <w:pPr>
        <w:pStyle w:val="FootnoteText"/>
      </w:pPr>
      <w:r>
        <w:rPr>
          <w:rStyle w:val="FootnoteReference"/>
        </w:rPr>
        <w:footnoteRef/>
      </w:r>
      <w:r>
        <w:t xml:space="preserve"> </w:t>
      </w:r>
      <w:r w:rsidR="0024048E">
        <w:t xml:space="preserve">Nietzsche, </w:t>
      </w:r>
      <w:r w:rsidR="0024048E">
        <w:rPr>
          <w:i/>
        </w:rPr>
        <w:t>We Philologists</w:t>
      </w:r>
      <w:r w:rsidR="0024048E">
        <w:t xml:space="preserve"> </w:t>
      </w:r>
    </w:p>
  </w:footnote>
  <w:footnote w:id="27">
    <w:p w14:paraId="4CCE6F16" w14:textId="71810D5D" w:rsidR="0043034E" w:rsidRPr="0024048E" w:rsidRDefault="0043034E">
      <w:pPr>
        <w:pStyle w:val="FootnoteText"/>
      </w:pPr>
      <w:r>
        <w:rPr>
          <w:rStyle w:val="FootnoteReference"/>
        </w:rPr>
        <w:footnoteRef/>
      </w:r>
      <w:r>
        <w:t xml:space="preserve"> </w:t>
      </w:r>
      <w:r w:rsidR="0024048E">
        <w:t xml:space="preserve">Yeats, </w:t>
      </w:r>
      <w:r w:rsidR="0024048E">
        <w:rPr>
          <w:i/>
        </w:rPr>
        <w:t>Autobiographies</w:t>
      </w:r>
      <w:r w:rsidR="0024048E">
        <w:t xml:space="preserve"> (1955)</w:t>
      </w:r>
    </w:p>
  </w:footnote>
  <w:footnote w:id="28">
    <w:p w14:paraId="199F3832" w14:textId="0B2847F9" w:rsidR="0043034E" w:rsidRPr="0024048E" w:rsidRDefault="0043034E">
      <w:pPr>
        <w:pStyle w:val="FootnoteText"/>
      </w:pPr>
      <w:r>
        <w:rPr>
          <w:rStyle w:val="FootnoteReference"/>
        </w:rPr>
        <w:footnoteRef/>
      </w:r>
      <w:r>
        <w:t xml:space="preserve"> Heaney</w:t>
      </w:r>
      <w:r w:rsidR="0024048E">
        <w:t>,</w:t>
      </w:r>
      <w:r>
        <w:t xml:space="preserve"> </w:t>
      </w:r>
      <w:r>
        <w:rPr>
          <w:i/>
        </w:rPr>
        <w:t xml:space="preserve">Alphabets </w:t>
      </w:r>
      <w:r w:rsidR="0024048E">
        <w:t xml:space="preserve">from </w:t>
      </w:r>
      <w:r w:rsidR="0024048E">
        <w:rPr>
          <w:i/>
        </w:rPr>
        <w:t xml:space="preserve">The Haw Lantern </w:t>
      </w:r>
      <w:r w:rsidR="0024048E">
        <w:t>(1987)</w:t>
      </w:r>
    </w:p>
  </w:footnote>
  <w:footnote w:id="29">
    <w:p w14:paraId="404D3D86" w14:textId="09ED9444" w:rsidR="0043034E" w:rsidRPr="0024048E" w:rsidRDefault="0043034E">
      <w:pPr>
        <w:pStyle w:val="FootnoteText"/>
      </w:pPr>
      <w:r>
        <w:rPr>
          <w:rStyle w:val="FootnoteReference"/>
        </w:rPr>
        <w:footnoteRef/>
      </w:r>
      <w:r>
        <w:t xml:space="preserve"> Heaney</w:t>
      </w:r>
      <w:r w:rsidR="0024048E">
        <w:t>,</w:t>
      </w:r>
      <w:r>
        <w:t xml:space="preserve"> </w:t>
      </w:r>
      <w:r>
        <w:rPr>
          <w:i/>
        </w:rPr>
        <w:t xml:space="preserve">Route </w:t>
      </w:r>
      <w:r w:rsidR="0024048E" w:rsidRPr="0024048E">
        <w:rPr>
          <w:i/>
        </w:rPr>
        <w:t>110</w:t>
      </w:r>
      <w:r w:rsidR="0024048E">
        <w:t xml:space="preserve">, </w:t>
      </w:r>
      <w:r w:rsidR="0024048E" w:rsidRPr="0024048E">
        <w:t>XXI</w:t>
      </w:r>
      <w:r w:rsidR="0024048E">
        <w:t xml:space="preserve">, from </w:t>
      </w:r>
      <w:r w:rsidR="0024048E">
        <w:rPr>
          <w:i/>
        </w:rPr>
        <w:t>Human Chain</w:t>
      </w:r>
      <w:r w:rsidR="0024048E">
        <w:t xml:space="preserve"> (2010)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F8F"/>
    <w:rsid w:val="00000515"/>
    <w:rsid w:val="00003B77"/>
    <w:rsid w:val="0001705F"/>
    <w:rsid w:val="000D7A41"/>
    <w:rsid w:val="000E50C4"/>
    <w:rsid w:val="00176280"/>
    <w:rsid w:val="00192F0A"/>
    <w:rsid w:val="001A2A44"/>
    <w:rsid w:val="001B58EF"/>
    <w:rsid w:val="001B74FC"/>
    <w:rsid w:val="001E3B87"/>
    <w:rsid w:val="001E3FC9"/>
    <w:rsid w:val="001F1007"/>
    <w:rsid w:val="0024048E"/>
    <w:rsid w:val="00241DA0"/>
    <w:rsid w:val="00251B5D"/>
    <w:rsid w:val="0028682F"/>
    <w:rsid w:val="00290DF5"/>
    <w:rsid w:val="002913C7"/>
    <w:rsid w:val="002A0AEC"/>
    <w:rsid w:val="002A5789"/>
    <w:rsid w:val="002E3B95"/>
    <w:rsid w:val="00305BBD"/>
    <w:rsid w:val="003423AA"/>
    <w:rsid w:val="003562AE"/>
    <w:rsid w:val="0038330C"/>
    <w:rsid w:val="003A5B9A"/>
    <w:rsid w:val="0041398C"/>
    <w:rsid w:val="0043034E"/>
    <w:rsid w:val="00433031"/>
    <w:rsid w:val="00451CBD"/>
    <w:rsid w:val="004551DF"/>
    <w:rsid w:val="004612A3"/>
    <w:rsid w:val="00461C89"/>
    <w:rsid w:val="00472E9E"/>
    <w:rsid w:val="004878B8"/>
    <w:rsid w:val="004B7F27"/>
    <w:rsid w:val="004C425E"/>
    <w:rsid w:val="004C76BD"/>
    <w:rsid w:val="005020C6"/>
    <w:rsid w:val="0052515F"/>
    <w:rsid w:val="00562BC8"/>
    <w:rsid w:val="0057590A"/>
    <w:rsid w:val="00636A4C"/>
    <w:rsid w:val="006B0A2B"/>
    <w:rsid w:val="006D13CE"/>
    <w:rsid w:val="006D1A46"/>
    <w:rsid w:val="006F2D93"/>
    <w:rsid w:val="00715894"/>
    <w:rsid w:val="007A3C5C"/>
    <w:rsid w:val="007B0603"/>
    <w:rsid w:val="007E00A3"/>
    <w:rsid w:val="007F7704"/>
    <w:rsid w:val="00800D40"/>
    <w:rsid w:val="008418FD"/>
    <w:rsid w:val="00844010"/>
    <w:rsid w:val="008623E0"/>
    <w:rsid w:val="008C4B39"/>
    <w:rsid w:val="008E0A61"/>
    <w:rsid w:val="00906293"/>
    <w:rsid w:val="00906FA3"/>
    <w:rsid w:val="009150A6"/>
    <w:rsid w:val="009163BD"/>
    <w:rsid w:val="00951DA8"/>
    <w:rsid w:val="00957A1F"/>
    <w:rsid w:val="00995958"/>
    <w:rsid w:val="009B0DCB"/>
    <w:rsid w:val="009C10B5"/>
    <w:rsid w:val="009C1CD1"/>
    <w:rsid w:val="009E666D"/>
    <w:rsid w:val="00A12721"/>
    <w:rsid w:val="00A166F0"/>
    <w:rsid w:val="00A546E1"/>
    <w:rsid w:val="00A64F8F"/>
    <w:rsid w:val="00A67E1B"/>
    <w:rsid w:val="00AE0E25"/>
    <w:rsid w:val="00AF556A"/>
    <w:rsid w:val="00B9096D"/>
    <w:rsid w:val="00BC0B18"/>
    <w:rsid w:val="00BE6DD0"/>
    <w:rsid w:val="00BF0BF8"/>
    <w:rsid w:val="00D02646"/>
    <w:rsid w:val="00D24D2F"/>
    <w:rsid w:val="00D25DBF"/>
    <w:rsid w:val="00D30127"/>
    <w:rsid w:val="00DB7F7E"/>
    <w:rsid w:val="00DC1784"/>
    <w:rsid w:val="00E050D8"/>
    <w:rsid w:val="00E2124D"/>
    <w:rsid w:val="00E232F6"/>
    <w:rsid w:val="00E2633C"/>
    <w:rsid w:val="00E632A7"/>
    <w:rsid w:val="00E959F3"/>
    <w:rsid w:val="00EC3FB2"/>
    <w:rsid w:val="00EE09F4"/>
    <w:rsid w:val="00F277A4"/>
    <w:rsid w:val="00F30309"/>
    <w:rsid w:val="00F37E19"/>
    <w:rsid w:val="00F525DD"/>
    <w:rsid w:val="00F74A46"/>
    <w:rsid w:val="00F8597A"/>
    <w:rsid w:val="00F9068E"/>
    <w:rsid w:val="00FA5F7A"/>
    <w:rsid w:val="00FC0964"/>
    <w:rsid w:val="00FC32E4"/>
    <w:rsid w:val="00FD14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FB65B"/>
  <w15:chartTrackingRefBased/>
  <w15:docId w15:val="{967A1158-C310-432E-AAFC-10A287C70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30309"/>
    <w:rPr>
      <w:color w:val="0563C1" w:themeColor="hyperlink"/>
      <w:u w:val="single"/>
    </w:rPr>
  </w:style>
  <w:style w:type="character" w:styleId="FollowedHyperlink">
    <w:name w:val="FollowedHyperlink"/>
    <w:basedOn w:val="DefaultParagraphFont"/>
    <w:uiPriority w:val="99"/>
    <w:semiHidden/>
    <w:unhideWhenUsed/>
    <w:rsid w:val="00F30309"/>
    <w:rPr>
      <w:color w:val="954F72" w:themeColor="followedHyperlink"/>
      <w:u w:val="single"/>
    </w:rPr>
  </w:style>
  <w:style w:type="character" w:styleId="Emphasis">
    <w:name w:val="Emphasis"/>
    <w:basedOn w:val="DefaultParagraphFont"/>
    <w:uiPriority w:val="20"/>
    <w:qFormat/>
    <w:rsid w:val="006F2D93"/>
    <w:rPr>
      <w:i/>
      <w:iCs/>
    </w:rPr>
  </w:style>
  <w:style w:type="paragraph" w:styleId="FootnoteText">
    <w:name w:val="footnote text"/>
    <w:basedOn w:val="Normal"/>
    <w:link w:val="FootnoteTextChar"/>
    <w:uiPriority w:val="99"/>
    <w:semiHidden/>
    <w:unhideWhenUsed/>
    <w:rsid w:val="005020C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020C6"/>
    <w:rPr>
      <w:sz w:val="20"/>
      <w:szCs w:val="20"/>
    </w:rPr>
  </w:style>
  <w:style w:type="character" w:styleId="FootnoteReference">
    <w:name w:val="footnote reference"/>
    <w:basedOn w:val="DefaultParagraphFont"/>
    <w:uiPriority w:val="99"/>
    <w:semiHidden/>
    <w:unhideWhenUsed/>
    <w:rsid w:val="005020C6"/>
    <w:rPr>
      <w:vertAlign w:val="superscript"/>
    </w:rPr>
  </w:style>
  <w:style w:type="character" w:customStyle="1" w:styleId="normaltextrun">
    <w:name w:val="normaltextrun"/>
    <w:basedOn w:val="DefaultParagraphFont"/>
    <w:rsid w:val="00DB7F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4963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114DBA-F012-4813-8AB8-EC63486A7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2784</Words>
  <Characters>15869</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Rees</dc:creator>
  <cp:keywords/>
  <dc:description/>
  <cp:lastModifiedBy>Elena Sorochina</cp:lastModifiedBy>
  <cp:revision>2</cp:revision>
  <dcterms:created xsi:type="dcterms:W3CDTF">2018-09-18T10:19:00Z</dcterms:created>
  <dcterms:modified xsi:type="dcterms:W3CDTF">2018-09-18T10:19:00Z</dcterms:modified>
</cp:coreProperties>
</file>